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B42D9" w:rsidRDefault="00000000">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t>Fecha recepción: XX/XX/202XX Fecha revisión: XX/XX/202XX</w:t>
      </w:r>
      <w:r>
        <w:rPr>
          <w:noProof/>
        </w:rPr>
        <w:drawing>
          <wp:anchor distT="0" distB="0" distL="0" distR="0" simplePos="0" relativeHeight="251658240" behindDoc="0" locked="0" layoutInCell="1" hidden="0" allowOverlap="1" wp14:anchorId="39FF1E6B" wp14:editId="0B3EC80A">
            <wp:simplePos x="0" y="0"/>
            <wp:positionH relativeFrom="column">
              <wp:posOffset>273050</wp:posOffset>
            </wp:positionH>
            <wp:positionV relativeFrom="paragraph">
              <wp:posOffset>209550</wp:posOffset>
            </wp:positionV>
            <wp:extent cx="1924913" cy="473114"/>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00000002" w14:textId="77777777" w:rsidR="00FB42D9" w:rsidRDefault="00000000">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Fecha de publicación: XX/XX/</w:t>
      </w:r>
      <w:sdt>
        <w:sdtPr>
          <w:tag w:val="goog_rdk_0"/>
          <w:id w:val="-969127107"/>
        </w:sdtPr>
        <w:sdtContent/>
      </w:sdt>
      <w:r>
        <w:rPr>
          <w:rFonts w:ascii="EB Garamond" w:eastAsia="EB Garamond" w:hAnsi="EB Garamond" w:cs="EB Garamond"/>
          <w:color w:val="808080"/>
          <w:sz w:val="16"/>
          <w:szCs w:val="16"/>
        </w:rPr>
        <w:t>202XX</w:t>
      </w:r>
    </w:p>
    <w:p w14:paraId="00000003" w14:textId="77777777" w:rsidR="00FB42D9" w:rsidRDefault="00FB42D9">
      <w:pPr>
        <w:widowControl/>
        <w:spacing w:before="39" w:line="252" w:lineRule="auto"/>
        <w:ind w:left="638" w:right="130"/>
        <w:rPr>
          <w:rFonts w:ascii="Arial Narrow" w:eastAsia="Arial Narrow" w:hAnsi="Arial Narrow" w:cs="Arial Narrow"/>
          <w:color w:val="231F20"/>
          <w:sz w:val="30"/>
          <w:szCs w:val="30"/>
        </w:rPr>
      </w:pPr>
    </w:p>
    <w:p w14:paraId="62CD634A" w14:textId="47DE8F2F" w:rsidR="00045F95" w:rsidRPr="0053392B" w:rsidRDefault="00045F95">
      <w:pPr>
        <w:widowControl/>
        <w:spacing w:before="39" w:line="252" w:lineRule="auto"/>
        <w:ind w:left="426" w:right="370"/>
        <w:rPr>
          <w:rFonts w:ascii="Arial Narrow" w:eastAsia="Arial Narrow" w:hAnsi="Arial Narrow" w:cs="Arial Narrow"/>
          <w:color w:val="231F20"/>
          <w:sz w:val="30"/>
          <w:szCs w:val="30"/>
        </w:rPr>
      </w:pPr>
      <w:r w:rsidRPr="0053392B">
        <w:rPr>
          <w:rFonts w:ascii="Arial Narrow" w:eastAsia="Arial Narrow" w:hAnsi="Arial Narrow" w:cs="Arial Narrow"/>
          <w:color w:val="231F20"/>
          <w:sz w:val="30"/>
          <w:szCs w:val="30"/>
        </w:rPr>
        <w:t xml:space="preserve">Rastreando la génesis de la videodanza y su relación con el discurso audiovisual </w:t>
      </w:r>
    </w:p>
    <w:p w14:paraId="00000005" w14:textId="77777777" w:rsidR="00FB42D9" w:rsidRDefault="00FB42D9">
      <w:pPr>
        <w:widowControl/>
        <w:spacing w:before="80"/>
        <w:ind w:left="426" w:right="370"/>
        <w:rPr>
          <w:color w:val="822108"/>
          <w:sz w:val="20"/>
          <w:szCs w:val="20"/>
          <w:highlight w:val="yellow"/>
        </w:rPr>
      </w:pPr>
    </w:p>
    <w:p w14:paraId="00000007" w14:textId="77777777" w:rsidR="00FB42D9" w:rsidRDefault="00FB42D9">
      <w:pPr>
        <w:widowControl/>
        <w:spacing w:before="80"/>
        <w:ind w:left="641" w:right="85"/>
        <w:rPr>
          <w:sz w:val="20"/>
          <w:szCs w:val="20"/>
        </w:rPr>
      </w:pPr>
    </w:p>
    <w:tbl>
      <w:tblPr>
        <w:tblStyle w:val="a"/>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FB42D9" w14:paraId="5C48F708" w14:textId="77777777">
        <w:tc>
          <w:tcPr>
            <w:tcW w:w="2409" w:type="dxa"/>
            <w:vAlign w:val="center"/>
          </w:tcPr>
          <w:p w14:paraId="00000008" w14:textId="77777777" w:rsidR="00FB42D9" w:rsidRDefault="00000000">
            <w:pPr>
              <w:widowControl/>
              <w:spacing w:before="177" w:line="204" w:lineRule="auto"/>
              <w:rPr>
                <w:b/>
                <w:sz w:val="18"/>
                <w:szCs w:val="18"/>
              </w:rPr>
            </w:pPr>
            <w:sdt>
              <w:sdtPr>
                <w:tag w:val="goog_rdk_2"/>
                <w:id w:val="-1670701396"/>
              </w:sdtPr>
              <w:sdtContent/>
            </w:sdt>
            <w:r>
              <w:rPr>
                <w:b/>
                <w:sz w:val="18"/>
                <w:szCs w:val="18"/>
              </w:rPr>
              <w:t>Sumario</w:t>
            </w:r>
          </w:p>
        </w:tc>
        <w:tc>
          <w:tcPr>
            <w:tcW w:w="4678" w:type="dxa"/>
            <w:vAlign w:val="center"/>
          </w:tcPr>
          <w:p w14:paraId="00000009" w14:textId="77777777" w:rsidR="00FB42D9" w:rsidRDefault="00000000">
            <w:pPr>
              <w:widowControl/>
              <w:spacing w:before="177" w:line="204" w:lineRule="auto"/>
              <w:rPr>
                <w:b/>
                <w:sz w:val="18"/>
                <w:szCs w:val="18"/>
              </w:rPr>
            </w:pPr>
            <w:r>
              <w:rPr>
                <w:b/>
                <w:sz w:val="18"/>
                <w:szCs w:val="18"/>
              </w:rPr>
              <w:t>Resumen</w:t>
            </w:r>
          </w:p>
        </w:tc>
      </w:tr>
      <w:tr w:rsidR="00FB42D9" w14:paraId="7639C725" w14:textId="77777777">
        <w:tc>
          <w:tcPr>
            <w:tcW w:w="2409" w:type="dxa"/>
          </w:tcPr>
          <w:p w14:paraId="46A319F8" w14:textId="11993F82" w:rsidR="00045F95" w:rsidRPr="00045F95" w:rsidRDefault="00000000" w:rsidP="00045F95">
            <w:pPr>
              <w:widowControl/>
              <w:numPr>
                <w:ilvl w:val="0"/>
                <w:numId w:val="1"/>
              </w:numPr>
              <w:pBdr>
                <w:top w:val="nil"/>
                <w:left w:val="nil"/>
                <w:bottom w:val="nil"/>
                <w:right w:val="nil"/>
                <w:between w:val="nil"/>
              </w:pBdr>
              <w:spacing w:line="180" w:lineRule="auto"/>
              <w:ind w:left="169" w:right="36" w:hanging="142"/>
              <w:rPr>
                <w:color w:val="000000"/>
                <w:sz w:val="16"/>
                <w:szCs w:val="16"/>
              </w:rPr>
            </w:pPr>
            <w:r w:rsidRPr="00045F95">
              <w:rPr>
                <w:color w:val="808080"/>
                <w:sz w:val="16"/>
                <w:szCs w:val="16"/>
              </w:rPr>
              <w:t>Introducción</w:t>
            </w:r>
          </w:p>
          <w:p w14:paraId="02572116" w14:textId="3B40F927" w:rsidR="00045F95" w:rsidRPr="00045F95" w:rsidRDefault="00045F95" w:rsidP="00045F95">
            <w:pPr>
              <w:widowControl/>
              <w:pBdr>
                <w:top w:val="nil"/>
                <w:left w:val="nil"/>
                <w:bottom w:val="nil"/>
                <w:right w:val="nil"/>
                <w:between w:val="nil"/>
              </w:pBdr>
              <w:spacing w:line="180" w:lineRule="auto"/>
              <w:ind w:left="169" w:right="36"/>
              <w:rPr>
                <w:color w:val="000000"/>
                <w:sz w:val="16"/>
                <w:szCs w:val="16"/>
              </w:rPr>
            </w:pPr>
            <w:r w:rsidRPr="00045F95">
              <w:rPr>
                <w:color w:val="808080"/>
                <w:sz w:val="16"/>
                <w:szCs w:val="16"/>
              </w:rPr>
              <w:t>1.1. Marco conceptual</w:t>
            </w:r>
          </w:p>
          <w:p w14:paraId="0000000B" w14:textId="77777777" w:rsidR="00FB42D9" w:rsidRPr="00045F95" w:rsidRDefault="00000000">
            <w:pPr>
              <w:widowControl/>
              <w:numPr>
                <w:ilvl w:val="0"/>
                <w:numId w:val="1"/>
              </w:numPr>
              <w:pBdr>
                <w:top w:val="nil"/>
                <w:left w:val="nil"/>
                <w:bottom w:val="nil"/>
                <w:right w:val="nil"/>
                <w:between w:val="nil"/>
              </w:pBdr>
              <w:spacing w:line="180" w:lineRule="auto"/>
              <w:ind w:left="169" w:right="36" w:hanging="142"/>
              <w:rPr>
                <w:color w:val="000000"/>
                <w:sz w:val="16"/>
                <w:szCs w:val="16"/>
              </w:rPr>
            </w:pPr>
            <w:r w:rsidRPr="00045F95">
              <w:rPr>
                <w:color w:val="808080"/>
                <w:sz w:val="16"/>
                <w:szCs w:val="16"/>
              </w:rPr>
              <w:t>Metodología</w:t>
            </w:r>
          </w:p>
          <w:p w14:paraId="0000000C" w14:textId="08E77BAE" w:rsidR="00FB42D9" w:rsidRPr="00045F95" w:rsidRDefault="00045F95">
            <w:pPr>
              <w:widowControl/>
              <w:numPr>
                <w:ilvl w:val="0"/>
                <w:numId w:val="1"/>
              </w:numPr>
              <w:pBdr>
                <w:top w:val="nil"/>
                <w:left w:val="nil"/>
                <w:bottom w:val="nil"/>
                <w:right w:val="nil"/>
                <w:between w:val="nil"/>
              </w:pBdr>
              <w:tabs>
                <w:tab w:val="left" w:pos="847"/>
              </w:tabs>
              <w:spacing w:line="180" w:lineRule="auto"/>
              <w:ind w:left="169" w:right="36" w:hanging="142"/>
              <w:rPr>
                <w:color w:val="000000"/>
                <w:sz w:val="16"/>
                <w:szCs w:val="16"/>
              </w:rPr>
            </w:pPr>
            <w:r w:rsidRPr="00045F95">
              <w:rPr>
                <w:color w:val="808080"/>
                <w:sz w:val="16"/>
                <w:szCs w:val="16"/>
              </w:rPr>
              <w:t>Resultados y discusión</w:t>
            </w:r>
          </w:p>
          <w:p w14:paraId="00000011" w14:textId="25B232A9" w:rsidR="00FB42D9" w:rsidRPr="00045F95" w:rsidRDefault="00045F95">
            <w:pPr>
              <w:widowControl/>
              <w:numPr>
                <w:ilvl w:val="0"/>
                <w:numId w:val="1"/>
              </w:numPr>
              <w:pBdr>
                <w:top w:val="nil"/>
                <w:left w:val="nil"/>
                <w:bottom w:val="nil"/>
                <w:right w:val="nil"/>
                <w:between w:val="nil"/>
              </w:pBdr>
              <w:spacing w:line="173" w:lineRule="auto"/>
              <w:ind w:left="169" w:right="36" w:hanging="142"/>
              <w:rPr>
                <w:color w:val="000000"/>
                <w:sz w:val="16"/>
                <w:szCs w:val="16"/>
              </w:rPr>
            </w:pPr>
            <w:r w:rsidRPr="00045F95">
              <w:rPr>
                <w:color w:val="808080"/>
                <w:sz w:val="16"/>
                <w:szCs w:val="16"/>
              </w:rPr>
              <w:t>Conclusiones</w:t>
            </w:r>
          </w:p>
          <w:p w14:paraId="00000012" w14:textId="77777777" w:rsidR="00FB42D9" w:rsidRPr="00045F95" w:rsidRDefault="00000000">
            <w:pPr>
              <w:widowControl/>
              <w:numPr>
                <w:ilvl w:val="0"/>
                <w:numId w:val="1"/>
              </w:numPr>
              <w:pBdr>
                <w:top w:val="nil"/>
                <w:left w:val="nil"/>
                <w:bottom w:val="nil"/>
                <w:right w:val="nil"/>
                <w:between w:val="nil"/>
              </w:pBdr>
              <w:spacing w:line="198" w:lineRule="auto"/>
              <w:ind w:left="169" w:right="36" w:hanging="142"/>
              <w:rPr>
                <w:color w:val="000000"/>
                <w:sz w:val="16"/>
                <w:szCs w:val="16"/>
              </w:rPr>
            </w:pPr>
            <w:r w:rsidRPr="00045F95">
              <w:rPr>
                <w:color w:val="808080"/>
                <w:sz w:val="16"/>
                <w:szCs w:val="16"/>
              </w:rPr>
              <w:t>Bibliografía</w:t>
            </w:r>
          </w:p>
          <w:p w14:paraId="00000013" w14:textId="77777777" w:rsidR="00FB42D9" w:rsidRDefault="00FB42D9">
            <w:pPr>
              <w:widowControl/>
              <w:spacing w:before="177" w:line="204" w:lineRule="auto"/>
              <w:ind w:left="169" w:hanging="142"/>
              <w:rPr>
                <w:b/>
                <w:sz w:val="18"/>
                <w:szCs w:val="18"/>
              </w:rPr>
            </w:pPr>
          </w:p>
        </w:tc>
        <w:tc>
          <w:tcPr>
            <w:tcW w:w="4678" w:type="dxa"/>
          </w:tcPr>
          <w:p w14:paraId="00000014" w14:textId="05EE7C84" w:rsidR="00FB42D9" w:rsidRDefault="00045F95">
            <w:pPr>
              <w:widowControl/>
              <w:spacing w:line="204" w:lineRule="auto"/>
              <w:jc w:val="both"/>
              <w:rPr>
                <w:sz w:val="18"/>
                <w:szCs w:val="18"/>
              </w:rPr>
            </w:pPr>
            <w:r w:rsidRPr="00045F95">
              <w:rPr>
                <w:sz w:val="18"/>
                <w:szCs w:val="18"/>
              </w:rPr>
              <w:t xml:space="preserve">El presente estudio examina los precursores de la videodanza desde la perspectiva del discurso audiovisual, empleando una metodología mixta secuencial. La investigación se desarrolla en dos fases: un análisis de contenido y una etapa de observación, identificación y comparación de conceptos. Para ello, se delimitó un universo de 562 piezas de videodanza, de las cuales se analizó una muestra representativa de 160. Los hallazgos evidencian que diversas manifestaciones cinematográficas y audiovisuales han influido en la configuración del discurso de la videodanza. En particular, el cine comercial de ficción ha aportado estrategias narrativas clásicas vinculadas al montaje en continuidad, mientras que el cine musical ha contribuido con la integración de piezas dancísticas como parte fundamental de la diégesis de la historia. Asimismo, el cine experimental y de vanguardia ha influido a través de la fragmentación y la exploración de nuevas formas expresivas. El videoarte y el </w:t>
            </w:r>
            <w:proofErr w:type="spellStart"/>
            <w:r w:rsidRPr="00045F95">
              <w:rPr>
                <w:sz w:val="18"/>
                <w:szCs w:val="18"/>
              </w:rPr>
              <w:t>videoperformance</w:t>
            </w:r>
            <w:proofErr w:type="spellEnd"/>
            <w:r w:rsidRPr="00045F95">
              <w:rPr>
                <w:sz w:val="18"/>
                <w:szCs w:val="18"/>
              </w:rPr>
              <w:t xml:space="preserve"> han proporcionado una aproximación conceptual centrada en la performatividad del cuerpo y la relación entre el movimiento y la imagen. Sin embargo, los resultados del estudio descartan al videoclip como un precursor de la videodanza, dado que su estructura y finalidad responden a dinámicas comerciales que no coinciden con los principios estéticos y discursivos de la videodanza.</w:t>
            </w:r>
          </w:p>
        </w:tc>
      </w:tr>
    </w:tbl>
    <w:p w14:paraId="00000015" w14:textId="77777777" w:rsidR="00FB42D9" w:rsidRDefault="00000000">
      <w:pPr>
        <w:widowControl/>
        <w:spacing w:before="177" w:line="204" w:lineRule="auto"/>
        <w:ind w:left="660"/>
        <w:jc w:val="both"/>
        <w:rPr>
          <w:b/>
          <w:sz w:val="18"/>
          <w:szCs w:val="18"/>
        </w:rPr>
      </w:pPr>
      <w:r>
        <w:rPr>
          <w:b/>
          <w:sz w:val="18"/>
          <w:szCs w:val="18"/>
        </w:rPr>
        <w:t>Palabras clave</w:t>
      </w:r>
    </w:p>
    <w:p w14:paraId="00000016" w14:textId="63291AC3" w:rsidR="00FB42D9" w:rsidRPr="00045F95" w:rsidRDefault="00045F95">
      <w:pPr>
        <w:widowControl/>
        <w:spacing w:before="9" w:line="199" w:lineRule="auto"/>
        <w:ind w:left="660" w:right="134"/>
        <w:jc w:val="both"/>
        <w:rPr>
          <w:sz w:val="18"/>
          <w:szCs w:val="18"/>
        </w:rPr>
        <w:sectPr w:rsidR="00FB42D9" w:rsidRPr="00045F95">
          <w:headerReference w:type="default" r:id="rId9"/>
          <w:footerReference w:type="default" r:id="rId10"/>
          <w:pgSz w:w="9640" w:h="13610"/>
          <w:pgMar w:top="1480" w:right="1000" w:bottom="2120" w:left="1040" w:header="1148" w:footer="1931" w:gutter="0"/>
          <w:pgNumType w:start="1"/>
          <w:cols w:space="720"/>
        </w:sectPr>
      </w:pPr>
      <w:r w:rsidRPr="00045F95">
        <w:rPr>
          <w:sz w:val="18"/>
          <w:szCs w:val="18"/>
        </w:rPr>
        <w:t>“Videodanza”; “</w:t>
      </w:r>
      <w:proofErr w:type="spellStart"/>
      <w:r w:rsidRPr="00045F95">
        <w:rPr>
          <w:sz w:val="18"/>
          <w:szCs w:val="18"/>
        </w:rPr>
        <w:t>Cinedanza</w:t>
      </w:r>
      <w:proofErr w:type="spellEnd"/>
      <w:r w:rsidRPr="00045F95">
        <w:rPr>
          <w:sz w:val="18"/>
          <w:szCs w:val="18"/>
        </w:rPr>
        <w:t>”; “Videoarte”; “Vídeo Performativo”; “Cine Expe</w:t>
      </w:r>
      <w:r>
        <w:rPr>
          <w:sz w:val="18"/>
          <w:szCs w:val="18"/>
        </w:rPr>
        <w:t>rimental”</w:t>
      </w:r>
    </w:p>
    <w:p w14:paraId="00000017" w14:textId="77777777" w:rsidR="00FB42D9" w:rsidRDefault="00000000">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lastRenderedPageBreak/>
        <w:t>Fecha recepción: XX/XX/202XX Fecha revisión: XX/XX/202XX</w:t>
      </w:r>
      <w:r>
        <w:rPr>
          <w:noProof/>
        </w:rPr>
        <w:drawing>
          <wp:anchor distT="0" distB="0" distL="0" distR="0" simplePos="0" relativeHeight="251659264" behindDoc="0" locked="0" layoutInCell="1" hidden="0" allowOverlap="1" wp14:anchorId="028CE0F5" wp14:editId="719EC8C1">
            <wp:simplePos x="0" y="0"/>
            <wp:positionH relativeFrom="column">
              <wp:posOffset>273050</wp:posOffset>
            </wp:positionH>
            <wp:positionV relativeFrom="paragraph">
              <wp:posOffset>209550</wp:posOffset>
            </wp:positionV>
            <wp:extent cx="1924913" cy="473114"/>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00000018" w14:textId="77777777" w:rsidR="00FB42D9" w:rsidRDefault="00000000">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Fecha de publicación: XX/XX/202XX</w:t>
      </w:r>
    </w:p>
    <w:p w14:paraId="00000019" w14:textId="77777777" w:rsidR="00FB42D9" w:rsidRDefault="00FB42D9">
      <w:pPr>
        <w:widowControl/>
        <w:spacing w:before="39" w:line="252" w:lineRule="auto"/>
        <w:ind w:left="638" w:right="130"/>
        <w:rPr>
          <w:rFonts w:ascii="Arial Narrow" w:eastAsia="Arial Narrow" w:hAnsi="Arial Narrow" w:cs="Arial Narrow"/>
          <w:color w:val="231F20"/>
          <w:sz w:val="30"/>
          <w:szCs w:val="30"/>
        </w:rPr>
      </w:pPr>
    </w:p>
    <w:p w14:paraId="0000001A" w14:textId="524037C2" w:rsidR="00FB42D9" w:rsidRPr="00045F95" w:rsidRDefault="00045F95">
      <w:pPr>
        <w:widowControl/>
        <w:spacing w:before="39" w:line="252" w:lineRule="auto"/>
        <w:ind w:left="426" w:right="370"/>
        <w:rPr>
          <w:sz w:val="18"/>
          <w:szCs w:val="18"/>
          <w:lang w:val="en-US"/>
        </w:rPr>
      </w:pPr>
      <w:r w:rsidRPr="00045F95">
        <w:rPr>
          <w:rFonts w:ascii="Arial Narrow" w:eastAsia="Arial Narrow" w:hAnsi="Arial Narrow" w:cs="Arial Narrow"/>
          <w:color w:val="231F20"/>
          <w:sz w:val="30"/>
          <w:szCs w:val="30"/>
          <w:lang w:val="en-US"/>
        </w:rPr>
        <w:t>Tracing the genesis of screendance and its relationship with audiovisual discourse</w:t>
      </w:r>
    </w:p>
    <w:p w14:paraId="0000001B" w14:textId="77777777" w:rsidR="00FB42D9" w:rsidRPr="00045F95" w:rsidRDefault="00FB42D9">
      <w:pPr>
        <w:widowControl/>
        <w:spacing w:before="80"/>
        <w:ind w:left="641" w:right="85"/>
        <w:rPr>
          <w:sz w:val="20"/>
          <w:szCs w:val="20"/>
          <w:lang w:val="en-US"/>
        </w:rPr>
      </w:pPr>
    </w:p>
    <w:tbl>
      <w:tblPr>
        <w:tblStyle w:val="a0"/>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FB42D9" w:rsidRPr="00045F95" w14:paraId="315BD27A" w14:textId="77777777">
        <w:tc>
          <w:tcPr>
            <w:tcW w:w="2409" w:type="dxa"/>
            <w:vAlign w:val="center"/>
          </w:tcPr>
          <w:p w14:paraId="0000001C" w14:textId="0C186F27" w:rsidR="00FB42D9" w:rsidRPr="00045F95" w:rsidRDefault="00000000">
            <w:pPr>
              <w:widowControl/>
              <w:spacing w:before="177" w:line="204" w:lineRule="auto"/>
              <w:rPr>
                <w:b/>
                <w:sz w:val="18"/>
                <w:szCs w:val="18"/>
                <w:lang w:val="en-US"/>
              </w:rPr>
            </w:pPr>
            <w:r w:rsidRPr="00045F95">
              <w:rPr>
                <w:b/>
                <w:sz w:val="18"/>
                <w:szCs w:val="18"/>
                <w:lang w:val="en-US"/>
              </w:rPr>
              <w:t>Sum</w:t>
            </w:r>
            <w:r w:rsidR="00045F95" w:rsidRPr="00045F95">
              <w:rPr>
                <w:b/>
                <w:sz w:val="18"/>
                <w:szCs w:val="18"/>
                <w:lang w:val="en-US"/>
              </w:rPr>
              <w:t>m</w:t>
            </w:r>
            <w:r w:rsidRPr="00045F95">
              <w:rPr>
                <w:b/>
                <w:sz w:val="18"/>
                <w:szCs w:val="18"/>
                <w:lang w:val="en-US"/>
              </w:rPr>
              <w:t>ar</w:t>
            </w:r>
            <w:r w:rsidR="00045F95" w:rsidRPr="00045F95">
              <w:rPr>
                <w:b/>
                <w:sz w:val="18"/>
                <w:szCs w:val="18"/>
                <w:lang w:val="en-US"/>
              </w:rPr>
              <w:t>y</w:t>
            </w:r>
          </w:p>
        </w:tc>
        <w:tc>
          <w:tcPr>
            <w:tcW w:w="4678" w:type="dxa"/>
            <w:vAlign w:val="center"/>
          </w:tcPr>
          <w:p w14:paraId="0000001D" w14:textId="52C347D6" w:rsidR="00FB42D9" w:rsidRPr="00045F95" w:rsidRDefault="00045F95">
            <w:pPr>
              <w:widowControl/>
              <w:spacing w:before="177" w:line="204" w:lineRule="auto"/>
              <w:rPr>
                <w:b/>
                <w:sz w:val="18"/>
                <w:szCs w:val="18"/>
                <w:lang w:val="en-US"/>
              </w:rPr>
            </w:pPr>
            <w:r w:rsidRPr="00045F95">
              <w:rPr>
                <w:b/>
                <w:sz w:val="18"/>
                <w:szCs w:val="18"/>
                <w:lang w:val="en-US"/>
              </w:rPr>
              <w:t>Abstract</w:t>
            </w:r>
          </w:p>
        </w:tc>
      </w:tr>
      <w:tr w:rsidR="00FB42D9" w:rsidRPr="00F605A0" w14:paraId="2AA657A1" w14:textId="77777777" w:rsidTr="00045F95">
        <w:tc>
          <w:tcPr>
            <w:tcW w:w="2409" w:type="dxa"/>
          </w:tcPr>
          <w:p w14:paraId="5380EDAA" w14:textId="3A24E04C" w:rsidR="00045F95" w:rsidRPr="00045F95" w:rsidRDefault="00045F95" w:rsidP="00045F95">
            <w:pPr>
              <w:widowControl/>
              <w:numPr>
                <w:ilvl w:val="0"/>
                <w:numId w:val="2"/>
              </w:numPr>
              <w:pBdr>
                <w:top w:val="nil"/>
                <w:left w:val="nil"/>
                <w:bottom w:val="nil"/>
                <w:right w:val="nil"/>
                <w:between w:val="nil"/>
              </w:pBdr>
              <w:spacing w:line="180" w:lineRule="auto"/>
              <w:ind w:left="169" w:right="36" w:hanging="142"/>
              <w:rPr>
                <w:color w:val="000000"/>
                <w:sz w:val="16"/>
                <w:szCs w:val="16"/>
                <w:lang w:val="en-US"/>
              </w:rPr>
            </w:pPr>
            <w:r w:rsidRPr="00045F95">
              <w:rPr>
                <w:color w:val="808080"/>
                <w:sz w:val="16"/>
                <w:szCs w:val="16"/>
                <w:lang w:val="en-US"/>
              </w:rPr>
              <w:t>Introduction</w:t>
            </w:r>
          </w:p>
          <w:p w14:paraId="30F3368A" w14:textId="2F1F0148" w:rsidR="00045F95" w:rsidRPr="00045F95" w:rsidRDefault="00045F95" w:rsidP="00045F95">
            <w:pPr>
              <w:widowControl/>
              <w:pBdr>
                <w:top w:val="nil"/>
                <w:left w:val="nil"/>
                <w:bottom w:val="nil"/>
                <w:right w:val="nil"/>
                <w:between w:val="nil"/>
              </w:pBdr>
              <w:spacing w:line="180" w:lineRule="auto"/>
              <w:ind w:left="169" w:right="36"/>
              <w:rPr>
                <w:color w:val="000000"/>
                <w:sz w:val="16"/>
                <w:szCs w:val="16"/>
                <w:lang w:val="en-US"/>
              </w:rPr>
            </w:pPr>
            <w:r w:rsidRPr="00045F95">
              <w:rPr>
                <w:color w:val="808080"/>
                <w:sz w:val="16"/>
                <w:szCs w:val="16"/>
                <w:lang w:val="en-US"/>
              </w:rPr>
              <w:t>1.1. Conceptual Framework</w:t>
            </w:r>
          </w:p>
          <w:p w14:paraId="7D801F00" w14:textId="74DB406A" w:rsidR="00045F95" w:rsidRPr="00045F95" w:rsidRDefault="00045F95" w:rsidP="00045F95">
            <w:pPr>
              <w:widowControl/>
              <w:numPr>
                <w:ilvl w:val="0"/>
                <w:numId w:val="4"/>
              </w:numPr>
              <w:pBdr>
                <w:top w:val="nil"/>
                <w:left w:val="nil"/>
                <w:bottom w:val="nil"/>
                <w:right w:val="nil"/>
                <w:between w:val="nil"/>
              </w:pBdr>
              <w:spacing w:line="180" w:lineRule="auto"/>
              <w:ind w:left="169" w:right="36" w:hanging="142"/>
              <w:rPr>
                <w:color w:val="000000"/>
                <w:sz w:val="16"/>
                <w:szCs w:val="16"/>
                <w:lang w:val="en-US"/>
              </w:rPr>
            </w:pPr>
            <w:r w:rsidRPr="00045F95">
              <w:rPr>
                <w:color w:val="808080"/>
                <w:sz w:val="16"/>
                <w:szCs w:val="16"/>
                <w:lang w:val="en-US"/>
              </w:rPr>
              <w:t>Methodology</w:t>
            </w:r>
          </w:p>
          <w:p w14:paraId="46EF6DF7" w14:textId="77777777" w:rsidR="00045F95" w:rsidRPr="00045F95" w:rsidRDefault="00045F95" w:rsidP="00045F95">
            <w:pPr>
              <w:widowControl/>
              <w:numPr>
                <w:ilvl w:val="0"/>
                <w:numId w:val="4"/>
              </w:numPr>
              <w:pBdr>
                <w:top w:val="nil"/>
                <w:left w:val="nil"/>
                <w:bottom w:val="nil"/>
                <w:right w:val="nil"/>
                <w:between w:val="nil"/>
              </w:pBdr>
              <w:spacing w:line="173" w:lineRule="auto"/>
              <w:ind w:left="169" w:right="36" w:hanging="142"/>
              <w:rPr>
                <w:color w:val="000000"/>
                <w:sz w:val="16"/>
                <w:szCs w:val="16"/>
                <w:lang w:val="en-US"/>
              </w:rPr>
            </w:pPr>
            <w:r w:rsidRPr="00045F95">
              <w:rPr>
                <w:color w:val="808080"/>
                <w:sz w:val="16"/>
                <w:szCs w:val="16"/>
                <w:lang w:val="en-US"/>
              </w:rPr>
              <w:t xml:space="preserve">Results and Discussion </w:t>
            </w:r>
          </w:p>
          <w:p w14:paraId="459D6AC7" w14:textId="6C14B8B3" w:rsidR="00045F95" w:rsidRPr="00045F95" w:rsidRDefault="00045F95" w:rsidP="00045F95">
            <w:pPr>
              <w:widowControl/>
              <w:numPr>
                <w:ilvl w:val="0"/>
                <w:numId w:val="4"/>
              </w:numPr>
              <w:pBdr>
                <w:top w:val="nil"/>
                <w:left w:val="nil"/>
                <w:bottom w:val="nil"/>
                <w:right w:val="nil"/>
                <w:between w:val="nil"/>
              </w:pBdr>
              <w:spacing w:line="173" w:lineRule="auto"/>
              <w:ind w:left="169" w:right="36" w:hanging="142"/>
              <w:rPr>
                <w:color w:val="000000"/>
                <w:sz w:val="16"/>
                <w:szCs w:val="16"/>
                <w:lang w:val="en-US"/>
              </w:rPr>
            </w:pPr>
            <w:r w:rsidRPr="00045F95">
              <w:rPr>
                <w:color w:val="808080"/>
                <w:sz w:val="16"/>
                <w:szCs w:val="16"/>
                <w:lang w:val="en-US"/>
              </w:rPr>
              <w:t>Conclusions</w:t>
            </w:r>
          </w:p>
          <w:p w14:paraId="00000027" w14:textId="1F2C0935" w:rsidR="00FB42D9" w:rsidRPr="00045F95" w:rsidRDefault="00045F95" w:rsidP="00045F95">
            <w:pPr>
              <w:widowControl/>
              <w:numPr>
                <w:ilvl w:val="0"/>
                <w:numId w:val="4"/>
              </w:numPr>
              <w:pBdr>
                <w:top w:val="nil"/>
                <w:left w:val="nil"/>
                <w:bottom w:val="nil"/>
                <w:right w:val="nil"/>
                <w:between w:val="nil"/>
              </w:pBdr>
              <w:spacing w:line="198" w:lineRule="auto"/>
              <w:ind w:left="169" w:right="36" w:hanging="142"/>
              <w:rPr>
                <w:color w:val="000000"/>
                <w:sz w:val="16"/>
                <w:szCs w:val="16"/>
                <w:lang w:val="en-US"/>
              </w:rPr>
            </w:pPr>
            <w:r w:rsidRPr="00045F95">
              <w:rPr>
                <w:color w:val="808080"/>
                <w:sz w:val="16"/>
                <w:szCs w:val="16"/>
                <w:lang w:val="en-US"/>
              </w:rPr>
              <w:t>Bibliography</w:t>
            </w:r>
          </w:p>
        </w:tc>
        <w:tc>
          <w:tcPr>
            <w:tcW w:w="4678" w:type="dxa"/>
          </w:tcPr>
          <w:p w14:paraId="00000028" w14:textId="7899E5DA" w:rsidR="00FB42D9" w:rsidRPr="00045F95" w:rsidRDefault="00045F95">
            <w:pPr>
              <w:widowControl/>
              <w:spacing w:line="204" w:lineRule="auto"/>
              <w:jc w:val="both"/>
              <w:rPr>
                <w:sz w:val="18"/>
                <w:szCs w:val="18"/>
                <w:lang w:val="en-US"/>
              </w:rPr>
            </w:pPr>
            <w:r w:rsidRPr="00045F95">
              <w:rPr>
                <w:sz w:val="18"/>
                <w:szCs w:val="18"/>
                <w:lang w:val="en-US"/>
              </w:rPr>
              <w:t>This study examines the precursors of screendance from the perspective of audiovisual discourse, using a sequential mixed metho</w:t>
            </w:r>
            <w:r w:rsidR="00F605A0">
              <w:rPr>
                <w:sz w:val="18"/>
                <w:szCs w:val="18"/>
                <w:lang w:val="en-US"/>
              </w:rPr>
              <w:t>s approach</w:t>
            </w:r>
            <w:r w:rsidRPr="00045F95">
              <w:rPr>
                <w:sz w:val="18"/>
                <w:szCs w:val="18"/>
                <w:lang w:val="en-US"/>
              </w:rPr>
              <w:t>. The research was developed in two phases: content analysis and a stage of observation, identification and comparison of concepts. For this purpose, a universe of 562</w:t>
            </w:r>
            <w:r>
              <w:rPr>
                <w:sz w:val="18"/>
                <w:szCs w:val="18"/>
                <w:lang w:val="en-US"/>
              </w:rPr>
              <w:t xml:space="preserve"> works of</w:t>
            </w:r>
            <w:r w:rsidRPr="00045F95">
              <w:rPr>
                <w:sz w:val="18"/>
                <w:szCs w:val="18"/>
                <w:lang w:val="en-US"/>
              </w:rPr>
              <w:t xml:space="preserve"> screendance was delimited, of which a representative sample of 160 was analyzed. The findings show that different cinematographic and audiovisual manifestations have influenced the configuration of the screendance discourse. In particular, commercial fiction cinema has contributed classical narrative strategies linked to montage in continuity, while musical cinema has contributed with the integration of dance pieces as a fundamental part of the narration of the story. Likewise, experimental and avant-garde films have influenced screendance works through fragmentation and the exploration of new expressive forms. Videoart and </w:t>
            </w:r>
            <w:proofErr w:type="spellStart"/>
            <w:r w:rsidRPr="00045F95">
              <w:rPr>
                <w:sz w:val="18"/>
                <w:szCs w:val="18"/>
                <w:lang w:val="en-US"/>
              </w:rPr>
              <w:t>videoperformance</w:t>
            </w:r>
            <w:proofErr w:type="spellEnd"/>
            <w:r w:rsidRPr="00045F95">
              <w:rPr>
                <w:sz w:val="18"/>
                <w:szCs w:val="18"/>
                <w:lang w:val="en-US"/>
              </w:rPr>
              <w:t xml:space="preserve"> have provided a conceptual approach focused on the performativity of the body and the relationship between movement and image. However, the results of the study rule out the music video as a precursor of screendance, given that its structure and purpose respond to commercial dynamics that do not coincide with the aesthetic and discursive principles of screendance.</w:t>
            </w:r>
          </w:p>
        </w:tc>
      </w:tr>
    </w:tbl>
    <w:p w14:paraId="00000029" w14:textId="1EC42D28" w:rsidR="00FB42D9" w:rsidRPr="00045F95" w:rsidRDefault="00045F95">
      <w:pPr>
        <w:widowControl/>
        <w:spacing w:before="177" w:line="204" w:lineRule="auto"/>
        <w:ind w:left="660"/>
        <w:jc w:val="both"/>
        <w:rPr>
          <w:b/>
          <w:sz w:val="18"/>
          <w:szCs w:val="18"/>
          <w:lang w:val="en-US"/>
        </w:rPr>
      </w:pPr>
      <w:r w:rsidRPr="00045F95">
        <w:rPr>
          <w:b/>
          <w:sz w:val="18"/>
          <w:szCs w:val="18"/>
          <w:lang w:val="en-US"/>
        </w:rPr>
        <w:t>Keywords</w:t>
      </w:r>
    </w:p>
    <w:p w14:paraId="0000002A" w14:textId="1E4D930B" w:rsidR="00FB42D9" w:rsidRPr="00045F95" w:rsidRDefault="00000000">
      <w:pPr>
        <w:widowControl/>
        <w:spacing w:before="9" w:line="199" w:lineRule="auto"/>
        <w:ind w:left="660" w:right="134"/>
        <w:jc w:val="both"/>
        <w:rPr>
          <w:sz w:val="18"/>
          <w:szCs w:val="18"/>
          <w:lang w:val="en-US"/>
        </w:rPr>
        <w:sectPr w:rsidR="00FB42D9" w:rsidRPr="00045F95">
          <w:pgSz w:w="9640" w:h="13610"/>
          <w:pgMar w:top="1480" w:right="1000" w:bottom="2120" w:left="1040" w:header="1148" w:footer="1931" w:gutter="0"/>
          <w:cols w:space="720"/>
        </w:sectPr>
      </w:pPr>
      <w:r w:rsidRPr="00045F95">
        <w:rPr>
          <w:sz w:val="18"/>
          <w:szCs w:val="18"/>
          <w:lang w:val="en-US"/>
        </w:rPr>
        <w:t>“</w:t>
      </w:r>
      <w:r w:rsidR="00F605A0">
        <w:rPr>
          <w:sz w:val="18"/>
          <w:szCs w:val="18"/>
          <w:lang w:val="en-US"/>
        </w:rPr>
        <w:t>Screendance</w:t>
      </w:r>
      <w:r w:rsidR="00045F95" w:rsidRPr="00045F95">
        <w:rPr>
          <w:sz w:val="18"/>
          <w:szCs w:val="18"/>
          <w:lang w:val="en-US"/>
        </w:rPr>
        <w:t>”; “</w:t>
      </w:r>
      <w:r w:rsidR="00F605A0">
        <w:rPr>
          <w:sz w:val="18"/>
          <w:szCs w:val="18"/>
          <w:lang w:val="en-US"/>
        </w:rPr>
        <w:t>Dance for the screen</w:t>
      </w:r>
      <w:r w:rsidR="00045F95" w:rsidRPr="00045F95">
        <w:rPr>
          <w:sz w:val="18"/>
          <w:szCs w:val="18"/>
          <w:lang w:val="en-US"/>
        </w:rPr>
        <w:t>”; “Videoart”; “</w:t>
      </w:r>
      <w:proofErr w:type="spellStart"/>
      <w:r w:rsidR="00045F95" w:rsidRPr="00045F95">
        <w:rPr>
          <w:sz w:val="18"/>
          <w:szCs w:val="18"/>
          <w:lang w:val="en-US"/>
        </w:rPr>
        <w:t>Videoperformance</w:t>
      </w:r>
      <w:proofErr w:type="spellEnd"/>
      <w:r w:rsidR="00045F95" w:rsidRPr="00045F95">
        <w:rPr>
          <w:sz w:val="18"/>
          <w:szCs w:val="18"/>
          <w:lang w:val="en-US"/>
        </w:rPr>
        <w:t>”; “Experimental Film”</w:t>
      </w:r>
    </w:p>
    <w:p w14:paraId="0000002B" w14:textId="7091A3C3" w:rsidR="00FB42D9" w:rsidRPr="00321374" w:rsidRDefault="00FA21F5">
      <w:pPr>
        <w:pStyle w:val="Ttulo1"/>
        <w:widowControl/>
        <w:numPr>
          <w:ilvl w:val="0"/>
          <w:numId w:val="3"/>
        </w:numPr>
        <w:spacing w:after="80"/>
        <w:rPr>
          <w:rFonts w:ascii="Garamond" w:eastAsia="Garamond" w:hAnsi="Garamond" w:cs="Garamond"/>
          <w:b/>
          <w:lang w:val="en-US"/>
        </w:rPr>
      </w:pPr>
      <w:r w:rsidRPr="00321374">
        <w:rPr>
          <w:rFonts w:ascii="Garamond" w:eastAsia="Garamond" w:hAnsi="Garamond" w:cs="Garamond"/>
          <w:b/>
          <w:color w:val="98361E"/>
          <w:lang w:val="en-US"/>
        </w:rPr>
        <w:lastRenderedPageBreak/>
        <w:t>Introduction</w:t>
      </w:r>
    </w:p>
    <w:p w14:paraId="0000002C" w14:textId="77777777" w:rsidR="00FB42D9" w:rsidRPr="00321374" w:rsidRDefault="00FB42D9">
      <w:pPr>
        <w:widowControl/>
        <w:pBdr>
          <w:top w:val="nil"/>
          <w:left w:val="nil"/>
          <w:bottom w:val="nil"/>
          <w:right w:val="nil"/>
          <w:between w:val="nil"/>
        </w:pBdr>
        <w:spacing w:after="80"/>
        <w:ind w:left="567"/>
        <w:rPr>
          <w:color w:val="000000"/>
          <w:sz w:val="20"/>
          <w:szCs w:val="20"/>
          <w:lang w:val="en-US"/>
        </w:rPr>
      </w:pPr>
    </w:p>
    <w:p w14:paraId="14F65B93" w14:textId="503C766D" w:rsidR="00045F95" w:rsidRPr="00321374" w:rsidRDefault="008D6041" w:rsidP="00045F95">
      <w:pPr>
        <w:widowControl/>
        <w:pBdr>
          <w:top w:val="nil"/>
          <w:left w:val="nil"/>
          <w:bottom w:val="nil"/>
          <w:right w:val="nil"/>
          <w:between w:val="nil"/>
        </w:pBdr>
        <w:spacing w:after="80"/>
        <w:ind w:left="426" w:right="370"/>
        <w:jc w:val="both"/>
        <w:rPr>
          <w:color w:val="231F20"/>
          <w:sz w:val="20"/>
          <w:szCs w:val="20"/>
          <w:lang w:val="en-US"/>
        </w:rPr>
      </w:pPr>
      <w:r w:rsidRPr="00321374">
        <w:rPr>
          <w:sz w:val="20"/>
          <w:szCs w:val="20"/>
          <w:lang w:val="en-US"/>
        </w:rPr>
        <w:t>Screendance constitutes an audiovisual manifestation that brings together the codes inherent to the language of dance with elements specific to cinematic language. Its affiliation with the postmodern context grants it the capacity to incorporate a diversity of approaches in the application of audiovisual techniques, which entails the appropriation of resources drawn from different discursive formats, both within and beyond the traditional scope of the audiovisual medium.</w:t>
      </w:r>
      <w:r w:rsidR="00045F95" w:rsidRPr="00321374">
        <w:rPr>
          <w:color w:val="231F20"/>
          <w:sz w:val="20"/>
          <w:szCs w:val="20"/>
          <w:lang w:val="en-US"/>
        </w:rPr>
        <w:t xml:space="preserve"> </w:t>
      </w:r>
    </w:p>
    <w:p w14:paraId="7631E55E" w14:textId="77777777" w:rsidR="00045F95" w:rsidRPr="00321374" w:rsidRDefault="00045F95" w:rsidP="00045F95">
      <w:pPr>
        <w:widowControl/>
        <w:pBdr>
          <w:top w:val="nil"/>
          <w:left w:val="nil"/>
          <w:bottom w:val="nil"/>
          <w:right w:val="nil"/>
          <w:between w:val="nil"/>
        </w:pBdr>
        <w:spacing w:after="80"/>
        <w:ind w:left="426" w:right="370"/>
        <w:jc w:val="both"/>
        <w:rPr>
          <w:color w:val="231F20"/>
          <w:sz w:val="20"/>
          <w:szCs w:val="20"/>
          <w:lang w:val="en-US"/>
        </w:rPr>
      </w:pPr>
    </w:p>
    <w:p w14:paraId="1C740A03" w14:textId="48F13E10" w:rsidR="00241B4C" w:rsidRPr="00321374" w:rsidRDefault="008D6041" w:rsidP="00045F95">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Likewise, conducting research on this object of study has become increasingly important. In the field of screendance, although progress has been made, there is still no consensus among the academics, artists, and curators </w:t>
      </w:r>
      <w:r w:rsidR="00F605A0">
        <w:rPr>
          <w:color w:val="231F20"/>
          <w:sz w:val="20"/>
          <w:szCs w:val="20"/>
          <w:lang w:val="en-US"/>
        </w:rPr>
        <w:t xml:space="preserve">working in the </w:t>
      </w:r>
      <w:proofErr w:type="spellStart"/>
      <w:r w:rsidR="00F605A0">
        <w:rPr>
          <w:color w:val="231F20"/>
          <w:sz w:val="20"/>
          <w:szCs w:val="20"/>
          <w:lang w:val="en-US"/>
        </w:rPr>
        <w:t>field</w:t>
      </w:r>
      <w:r w:rsidRPr="00321374">
        <w:rPr>
          <w:color w:val="231F20"/>
          <w:sz w:val="20"/>
          <w:szCs w:val="20"/>
          <w:lang w:val="en-US"/>
        </w:rPr>
        <w:t>regarding</w:t>
      </w:r>
      <w:proofErr w:type="spellEnd"/>
      <w:r w:rsidRPr="00321374">
        <w:rPr>
          <w:color w:val="231F20"/>
          <w:sz w:val="20"/>
          <w:szCs w:val="20"/>
          <w:lang w:val="en-US"/>
        </w:rPr>
        <w:t xml:space="preserve"> all of its constituent aspects, including its origins, its characteristics, its possible classification, and even its definition</w:t>
      </w:r>
      <w:r w:rsidR="00045F95" w:rsidRPr="00321374">
        <w:rPr>
          <w:color w:val="231F20"/>
          <w:sz w:val="20"/>
          <w:szCs w:val="20"/>
          <w:lang w:val="en-US"/>
        </w:rPr>
        <w:t xml:space="preserve">. </w:t>
      </w:r>
    </w:p>
    <w:p w14:paraId="5D7258AC" w14:textId="77777777" w:rsidR="00241B4C" w:rsidRPr="00321374" w:rsidRDefault="00241B4C" w:rsidP="00045F95">
      <w:pPr>
        <w:widowControl/>
        <w:pBdr>
          <w:top w:val="nil"/>
          <w:left w:val="nil"/>
          <w:bottom w:val="nil"/>
          <w:right w:val="nil"/>
          <w:between w:val="nil"/>
        </w:pBdr>
        <w:spacing w:after="80"/>
        <w:ind w:left="426" w:right="370"/>
        <w:jc w:val="both"/>
        <w:rPr>
          <w:color w:val="231F20"/>
          <w:sz w:val="20"/>
          <w:szCs w:val="20"/>
          <w:lang w:val="en-US"/>
        </w:rPr>
      </w:pPr>
    </w:p>
    <w:p w14:paraId="4A23C7B4" w14:textId="1A52A6CA" w:rsidR="00045F95" w:rsidRPr="00321374" w:rsidRDefault="008D6041" w:rsidP="00045F95">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Nevertheless, two perspectives can be identified that bring these issues together. The first is grounded in the need for conceptual clarification so that the field of research can advance; the second maintains that defining the boundaries of screendance may produce a restrictive and limiting effect (González &amp; Monroy Rocha, 2019). This uncertainty is due in part to the variety of modes of production associated with this type of dance-</w:t>
      </w:r>
      <w:r w:rsidR="007C0977" w:rsidRPr="00321374">
        <w:rPr>
          <w:color w:val="231F20"/>
          <w:sz w:val="20"/>
          <w:szCs w:val="20"/>
          <w:lang w:val="en-US"/>
        </w:rPr>
        <w:t>centered</w:t>
      </w:r>
      <w:r w:rsidRPr="00321374">
        <w:rPr>
          <w:color w:val="231F20"/>
          <w:sz w:val="20"/>
          <w:szCs w:val="20"/>
          <w:lang w:val="en-US"/>
        </w:rPr>
        <w:t xml:space="preserve"> audiovisual work, created from such diverse points of departure as cinema, dance, or video (Alonso, 2007)</w:t>
      </w:r>
      <w:r w:rsidR="00045F95" w:rsidRPr="00321374">
        <w:rPr>
          <w:color w:val="231F20"/>
          <w:sz w:val="20"/>
          <w:szCs w:val="20"/>
          <w:lang w:val="en-US"/>
        </w:rPr>
        <w:t>.</w:t>
      </w:r>
    </w:p>
    <w:p w14:paraId="76A7028C" w14:textId="77777777" w:rsidR="00045F95" w:rsidRPr="00321374" w:rsidRDefault="00045F95" w:rsidP="00045F95">
      <w:pPr>
        <w:widowControl/>
        <w:pBdr>
          <w:top w:val="nil"/>
          <w:left w:val="nil"/>
          <w:bottom w:val="nil"/>
          <w:right w:val="nil"/>
          <w:between w:val="nil"/>
        </w:pBdr>
        <w:spacing w:after="80"/>
        <w:ind w:left="426" w:right="370"/>
        <w:jc w:val="both"/>
        <w:rPr>
          <w:color w:val="231F20"/>
          <w:sz w:val="20"/>
          <w:szCs w:val="20"/>
          <w:lang w:val="en-US"/>
        </w:rPr>
      </w:pPr>
    </w:p>
    <w:p w14:paraId="59B13229" w14:textId="20FCE370" w:rsidR="00045F95" w:rsidRPr="00321374" w:rsidRDefault="008D6041" w:rsidP="00045F95">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Given the lack of clearly attributed terms and characteristics in relation to screendance, as well as the discrepancies proposed by academics and artists, our objective has been oriented toward identifying its potential precursors, determining the genealogy of this type of work, and tracing the discursive origins of the audiovisual tools employed in this artistic genre</w:t>
      </w:r>
      <w:r w:rsidR="00045F95" w:rsidRPr="00321374">
        <w:rPr>
          <w:color w:val="231F20"/>
          <w:sz w:val="20"/>
          <w:szCs w:val="20"/>
          <w:lang w:val="en-US"/>
        </w:rPr>
        <w:t xml:space="preserve">. </w:t>
      </w:r>
    </w:p>
    <w:p w14:paraId="25A079D3" w14:textId="77777777" w:rsidR="00241B4C" w:rsidRPr="00321374" w:rsidRDefault="00241B4C" w:rsidP="00045F95">
      <w:pPr>
        <w:widowControl/>
        <w:pBdr>
          <w:top w:val="nil"/>
          <w:left w:val="nil"/>
          <w:bottom w:val="nil"/>
          <w:right w:val="nil"/>
          <w:between w:val="nil"/>
        </w:pBdr>
        <w:spacing w:after="80"/>
        <w:ind w:left="426" w:right="370"/>
        <w:jc w:val="both"/>
        <w:rPr>
          <w:color w:val="231F20"/>
          <w:sz w:val="20"/>
          <w:szCs w:val="20"/>
          <w:lang w:val="en-US"/>
        </w:rPr>
      </w:pPr>
    </w:p>
    <w:p w14:paraId="0000002E" w14:textId="7E98452B" w:rsidR="00FB42D9" w:rsidRPr="00321374" w:rsidRDefault="008D6041" w:rsidP="00045F95">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To this end, we have focused our attention on different types of audiovisual discourses in which various forms of dance appear, regardless of whether a performing dancer can be observed or whether, instead, the elements within the frame themselves carry out the choreography. These include traditional fiction cinema, musical cinema, experimental cinema, video art, the music video, and video performance. Likewise, since screendance works are, above all, dances produced in an audiovisual format, we have considered it necessary to determine which specific characteristics of dance are transferred to screendance</w:t>
      </w:r>
      <w:r w:rsidR="00045F95" w:rsidRPr="00321374">
        <w:rPr>
          <w:color w:val="231F20"/>
          <w:sz w:val="20"/>
          <w:szCs w:val="20"/>
          <w:lang w:val="en-US"/>
        </w:rPr>
        <w:t>.</w:t>
      </w:r>
    </w:p>
    <w:p w14:paraId="1CBA0F76" w14:textId="77777777" w:rsidR="00241B4C" w:rsidRPr="00321374" w:rsidRDefault="00241B4C" w:rsidP="00045F95">
      <w:pPr>
        <w:widowControl/>
        <w:pBdr>
          <w:top w:val="nil"/>
          <w:left w:val="nil"/>
          <w:bottom w:val="nil"/>
          <w:right w:val="nil"/>
          <w:between w:val="nil"/>
        </w:pBdr>
        <w:spacing w:after="80"/>
        <w:ind w:left="426" w:right="370"/>
        <w:jc w:val="both"/>
        <w:rPr>
          <w:color w:val="231F20"/>
          <w:sz w:val="20"/>
          <w:szCs w:val="20"/>
          <w:lang w:val="en-US"/>
        </w:rPr>
      </w:pPr>
    </w:p>
    <w:p w14:paraId="3A477839" w14:textId="56C9A301" w:rsidR="00241B4C" w:rsidRPr="00321374" w:rsidRDefault="00241B4C" w:rsidP="00241B4C">
      <w:pPr>
        <w:pStyle w:val="Ttulo1"/>
        <w:widowControl/>
        <w:spacing w:after="80"/>
        <w:ind w:left="426"/>
        <w:rPr>
          <w:rFonts w:ascii="Garamond" w:eastAsia="Garamond" w:hAnsi="Garamond" w:cs="Garamond"/>
          <w:i/>
          <w:color w:val="98361E"/>
          <w:lang w:val="en-US"/>
        </w:rPr>
      </w:pPr>
      <w:r w:rsidRPr="00321374">
        <w:rPr>
          <w:rFonts w:ascii="Garamond" w:eastAsia="Garamond" w:hAnsi="Garamond" w:cs="Garamond"/>
          <w:i/>
          <w:color w:val="98361E"/>
          <w:lang w:val="en-US"/>
        </w:rPr>
        <w:t>1.1.</w:t>
      </w:r>
      <w:r w:rsidRPr="00321374">
        <w:rPr>
          <w:rFonts w:ascii="Garamond" w:eastAsia="Garamond" w:hAnsi="Garamond" w:cs="Garamond"/>
          <w:i/>
          <w:lang w:val="en-US"/>
        </w:rPr>
        <w:t xml:space="preserve"> </w:t>
      </w:r>
      <w:r w:rsidR="008D6041" w:rsidRPr="00321374">
        <w:rPr>
          <w:rFonts w:ascii="Garamond" w:eastAsia="Garamond" w:hAnsi="Garamond" w:cs="Garamond"/>
          <w:i/>
          <w:color w:val="98361E"/>
          <w:lang w:val="en-US"/>
        </w:rPr>
        <w:t>Conceptual Framework</w:t>
      </w:r>
    </w:p>
    <w:p w14:paraId="62DBE44E" w14:textId="77777777" w:rsidR="00241B4C" w:rsidRPr="00321374" w:rsidRDefault="00241B4C" w:rsidP="00241B4C">
      <w:pPr>
        <w:widowControl/>
        <w:pBdr>
          <w:top w:val="nil"/>
          <w:left w:val="nil"/>
          <w:bottom w:val="nil"/>
          <w:right w:val="nil"/>
          <w:between w:val="nil"/>
        </w:pBdr>
        <w:spacing w:after="80"/>
        <w:rPr>
          <w:color w:val="000000"/>
          <w:sz w:val="20"/>
          <w:szCs w:val="20"/>
          <w:lang w:val="en-US"/>
        </w:rPr>
      </w:pPr>
    </w:p>
    <w:p w14:paraId="0307D233" w14:textId="4F302D7D"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Audiovisual artistic works referred to as </w:t>
      </w:r>
      <w:proofErr w:type="spellStart"/>
      <w:r w:rsidRPr="00321374">
        <w:rPr>
          <w:color w:val="231F20"/>
          <w:sz w:val="20"/>
          <w:szCs w:val="20"/>
          <w:lang w:val="en-US"/>
        </w:rPr>
        <w:t>videodance</w:t>
      </w:r>
      <w:proofErr w:type="spellEnd"/>
      <w:r w:rsidRPr="00321374">
        <w:rPr>
          <w:color w:val="231F20"/>
          <w:sz w:val="20"/>
          <w:szCs w:val="20"/>
          <w:lang w:val="en-US"/>
        </w:rPr>
        <w:t xml:space="preserve">, dance for the screen, </w:t>
      </w:r>
      <w:proofErr w:type="spellStart"/>
      <w:r w:rsidRPr="00321374">
        <w:rPr>
          <w:color w:val="231F20"/>
          <w:sz w:val="20"/>
          <w:szCs w:val="20"/>
          <w:lang w:val="en-US"/>
        </w:rPr>
        <w:t>cinedance</w:t>
      </w:r>
      <w:proofErr w:type="spellEnd"/>
      <w:r w:rsidRPr="00321374">
        <w:rPr>
          <w:color w:val="231F20"/>
          <w:sz w:val="20"/>
          <w:szCs w:val="20"/>
          <w:lang w:val="en-US"/>
        </w:rPr>
        <w:t xml:space="preserve">, or screendance, among other terms, </w:t>
      </w:r>
      <w:r w:rsidR="00FA21F5" w:rsidRPr="00321374">
        <w:rPr>
          <w:color w:val="231F20"/>
          <w:sz w:val="20"/>
          <w:szCs w:val="20"/>
          <w:lang w:val="en-US"/>
        </w:rPr>
        <w:t>hybridize</w:t>
      </w:r>
      <w:r w:rsidRPr="00321374">
        <w:rPr>
          <w:color w:val="231F20"/>
          <w:sz w:val="20"/>
          <w:szCs w:val="20"/>
          <w:lang w:val="en-US"/>
        </w:rPr>
        <w:t xml:space="preserve"> </w:t>
      </w:r>
      <w:r w:rsidR="00F605A0">
        <w:rPr>
          <w:color w:val="231F20"/>
          <w:sz w:val="20"/>
          <w:szCs w:val="20"/>
          <w:lang w:val="en-US"/>
        </w:rPr>
        <w:t xml:space="preserve">cinematic and choreographic language </w:t>
      </w:r>
      <w:r w:rsidR="000F5E6D" w:rsidRPr="00321374">
        <w:rPr>
          <w:color w:val="231F20"/>
          <w:sz w:val="20"/>
          <w:szCs w:val="20"/>
          <w:lang w:val="en-US"/>
        </w:rPr>
        <w:t>to</w:t>
      </w:r>
      <w:r w:rsidRPr="00321374">
        <w:rPr>
          <w:color w:val="231F20"/>
          <w:sz w:val="20"/>
          <w:szCs w:val="20"/>
          <w:lang w:val="en-US"/>
        </w:rPr>
        <w:t xml:space="preserve"> create a form of dance that can only be experienced through a screen. Its consolidation </w:t>
      </w:r>
      <w:r w:rsidRPr="00321374">
        <w:rPr>
          <w:color w:val="231F20"/>
          <w:sz w:val="20"/>
          <w:szCs w:val="20"/>
          <w:lang w:val="en-US"/>
        </w:rPr>
        <w:lastRenderedPageBreak/>
        <w:t>as an artistic genre has required a symbiotic relationship between audiovisual and choreographic techniques since the origins of the cinematograph, which has contributed to the development of ways in which dance can take shape as an autonomous and singular audiovisual product, rather than merely recording a choreography performed on a stage</w:t>
      </w:r>
      <w:r w:rsidR="00241B4C" w:rsidRPr="00321374">
        <w:rPr>
          <w:color w:val="231F20"/>
          <w:sz w:val="20"/>
          <w:szCs w:val="20"/>
          <w:lang w:val="en-US"/>
        </w:rPr>
        <w:t>.</w:t>
      </w:r>
    </w:p>
    <w:p w14:paraId="25ECEBA4"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5E178DEC" w14:textId="0B2F9D5E"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The earliest manifestations of the </w:t>
      </w:r>
      <w:proofErr w:type="spellStart"/>
      <w:r w:rsidR="00F605A0">
        <w:rPr>
          <w:color w:val="231F20"/>
          <w:sz w:val="20"/>
          <w:szCs w:val="20"/>
          <w:lang w:val="en-US"/>
        </w:rPr>
        <w:t>the</w:t>
      </w:r>
      <w:proofErr w:type="spellEnd"/>
      <w:r w:rsidRPr="00321374">
        <w:rPr>
          <w:color w:val="231F20"/>
          <w:sz w:val="20"/>
          <w:szCs w:val="20"/>
          <w:lang w:val="en-US"/>
        </w:rPr>
        <w:t xml:space="preserve"> relationship </w:t>
      </w:r>
      <w:r w:rsidR="00F605A0">
        <w:rPr>
          <w:color w:val="231F20"/>
          <w:sz w:val="20"/>
          <w:szCs w:val="20"/>
          <w:lang w:val="en-US"/>
        </w:rPr>
        <w:t xml:space="preserve">between cinema and dance </w:t>
      </w:r>
      <w:r w:rsidRPr="00321374">
        <w:rPr>
          <w:color w:val="231F20"/>
          <w:sz w:val="20"/>
          <w:szCs w:val="20"/>
          <w:lang w:val="en-US"/>
        </w:rPr>
        <w:t>can be observed in films from the late nineteenth and early twentieth centuries that recorded various popular choreographies without any use of audiovisual language, simply employing a static frontal shot, partly because cinematic language itself had not yet evolved (Atienza Muñoz, 2013)</w:t>
      </w:r>
      <w:r w:rsidR="00241B4C" w:rsidRPr="00321374">
        <w:rPr>
          <w:color w:val="231F20"/>
          <w:sz w:val="20"/>
          <w:szCs w:val="20"/>
          <w:lang w:val="en-US"/>
        </w:rPr>
        <w:t xml:space="preserve">. </w:t>
      </w:r>
    </w:p>
    <w:p w14:paraId="06C0EC16"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48AC74B2" w14:textId="4B6FED77"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However, as Rosenberg (2012) explains, although there may appear to be no deliberate act of </w:t>
      </w:r>
      <w:r w:rsidR="000F5E6D" w:rsidRPr="00321374">
        <w:rPr>
          <w:color w:val="231F20"/>
          <w:sz w:val="20"/>
          <w:szCs w:val="20"/>
          <w:lang w:val="en-US"/>
        </w:rPr>
        <w:t>hybridization</w:t>
      </w:r>
      <w:r w:rsidRPr="00321374">
        <w:rPr>
          <w:color w:val="231F20"/>
          <w:sz w:val="20"/>
          <w:szCs w:val="20"/>
          <w:lang w:val="en-US"/>
        </w:rPr>
        <w:t xml:space="preserve"> between audiovisual and choreographic language, as occurs in screendance, the very fact that the photographer must decide how to frame the image of the dance entails a precise decision regarding how the performer is presented. This guides the spectator’s gaze and, therefore, may be considered a creative contribution to the choreography constructed in the moving image</w:t>
      </w:r>
      <w:r w:rsidR="00241B4C" w:rsidRPr="00321374">
        <w:rPr>
          <w:color w:val="231F20"/>
          <w:sz w:val="20"/>
          <w:szCs w:val="20"/>
          <w:lang w:val="en-US"/>
        </w:rPr>
        <w:t xml:space="preserve">. </w:t>
      </w:r>
    </w:p>
    <w:p w14:paraId="22241DBF"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1B05B8F8" w14:textId="36B5D0A0"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During the period of early cinema, there were various collaborations between filmmakers and professional choreographers and dancers, who worked on the evolution of how dance should be recorded. One example is the participation of dancers from Ruth St. Denis’s company in Griffith’s feature film </w:t>
      </w:r>
      <w:r w:rsidRPr="00321374">
        <w:rPr>
          <w:i/>
          <w:iCs/>
          <w:color w:val="231F20"/>
          <w:sz w:val="20"/>
          <w:szCs w:val="20"/>
          <w:lang w:val="en-US"/>
        </w:rPr>
        <w:t>Intolerance</w:t>
      </w:r>
      <w:r w:rsidRPr="00321374">
        <w:rPr>
          <w:color w:val="231F20"/>
          <w:sz w:val="20"/>
          <w:szCs w:val="20"/>
          <w:lang w:val="en-US"/>
        </w:rPr>
        <w:t xml:space="preserve"> (1916). In this film, specific mechanisms were used to record the choreography appearing in the Babylon segment, moving the camera vertically and horizontally in an elevator (Brum, 2019)</w:t>
      </w:r>
      <w:r w:rsidR="00241B4C" w:rsidRPr="00321374">
        <w:rPr>
          <w:color w:val="231F20"/>
          <w:sz w:val="20"/>
          <w:szCs w:val="20"/>
          <w:lang w:val="en-US"/>
        </w:rPr>
        <w:t xml:space="preserve">. </w:t>
      </w:r>
    </w:p>
    <w:p w14:paraId="39C994CC"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4595AF93" w14:textId="773CD73B"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 the arrival of the avant-gardes of the 1920s, dance shifted from being included in films as part of their diegesis to being presented in alternative ways. One manifestation of this appears in René Clair’s Dadaist work </w:t>
      </w:r>
      <w:r w:rsidRPr="00321374">
        <w:rPr>
          <w:i/>
          <w:iCs/>
          <w:color w:val="231F20"/>
          <w:sz w:val="20"/>
          <w:szCs w:val="20"/>
          <w:lang w:val="en-US"/>
        </w:rPr>
        <w:t>Entr’acte</w:t>
      </w:r>
      <w:r w:rsidRPr="00321374">
        <w:rPr>
          <w:color w:val="231F20"/>
          <w:sz w:val="20"/>
          <w:szCs w:val="20"/>
          <w:lang w:val="en-US"/>
        </w:rPr>
        <w:t xml:space="preserve"> (1924), where a dancer is seen jumping, but filmed from a low-angle shot, offering other viewpoints from which to contemplate the choreography</w:t>
      </w:r>
      <w:r w:rsidR="00241B4C" w:rsidRPr="00321374">
        <w:rPr>
          <w:color w:val="231F20"/>
          <w:sz w:val="20"/>
          <w:szCs w:val="20"/>
          <w:lang w:val="en-US"/>
        </w:rPr>
        <w:t xml:space="preserve">. </w:t>
      </w:r>
    </w:p>
    <w:p w14:paraId="09345106"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1A7D7E0F" w14:textId="33A3F5DD"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i/>
          <w:iCs/>
          <w:color w:val="231F20"/>
          <w:sz w:val="20"/>
          <w:szCs w:val="20"/>
          <w:lang w:val="en-US"/>
        </w:rPr>
        <w:t>Entr’acte</w:t>
      </w:r>
      <w:r w:rsidRPr="00321374">
        <w:rPr>
          <w:color w:val="231F20"/>
          <w:sz w:val="20"/>
          <w:szCs w:val="20"/>
          <w:lang w:val="en-US"/>
        </w:rPr>
        <w:t xml:space="preserve">, based on rapid montage intended to intrigue the spectator (Mitry, 1974), was not designed to participate in the commercial film circuit (Albera, 2009) and therefore allowed dance to appear in films of an experimental nature. This evolution in how dance is presented in an audiovisual format, where the images themselves appear choreographed (Kappenberg, 2013), begins to outline the different ways in which choreographic and audiovisual language can be </w:t>
      </w:r>
      <w:r w:rsidR="000F5E6D" w:rsidRPr="00321374">
        <w:rPr>
          <w:color w:val="231F20"/>
          <w:sz w:val="20"/>
          <w:szCs w:val="20"/>
          <w:lang w:val="en-US"/>
        </w:rPr>
        <w:t>hybridized</w:t>
      </w:r>
      <w:r w:rsidR="00241B4C" w:rsidRPr="00321374">
        <w:rPr>
          <w:color w:val="231F20"/>
          <w:sz w:val="20"/>
          <w:szCs w:val="20"/>
          <w:lang w:val="en-US"/>
        </w:rPr>
        <w:t xml:space="preserve">. </w:t>
      </w:r>
    </w:p>
    <w:p w14:paraId="3AFE001A"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5B59CF41" w14:textId="6F5B23B9" w:rsidR="00241B4C" w:rsidRPr="00321374" w:rsidRDefault="008D6041"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Likewise, during the avant-garde period, various works emerged that presented choreographed movement of the elements appearing within the frame without the need to use the body of a performer, as in films produced within the framework of German abstract cinema, including works such as </w:t>
      </w:r>
      <w:proofErr w:type="spellStart"/>
      <w:r w:rsidRPr="00321374">
        <w:rPr>
          <w:i/>
          <w:iCs/>
          <w:color w:val="231F20"/>
          <w:sz w:val="20"/>
          <w:szCs w:val="20"/>
          <w:lang w:val="en-US"/>
        </w:rPr>
        <w:t>Rhythmus</w:t>
      </w:r>
      <w:proofErr w:type="spellEnd"/>
      <w:r w:rsidRPr="00321374">
        <w:rPr>
          <w:i/>
          <w:iCs/>
          <w:color w:val="231F20"/>
          <w:sz w:val="20"/>
          <w:szCs w:val="20"/>
          <w:lang w:val="en-US"/>
        </w:rPr>
        <w:t xml:space="preserve"> 21</w:t>
      </w:r>
      <w:r w:rsidRPr="00321374">
        <w:rPr>
          <w:color w:val="231F20"/>
          <w:sz w:val="20"/>
          <w:szCs w:val="20"/>
          <w:lang w:val="en-US"/>
        </w:rPr>
        <w:t xml:space="preserve"> (1921) by Hans Richter, </w:t>
      </w:r>
      <w:r w:rsidRPr="00321374">
        <w:rPr>
          <w:i/>
          <w:iCs/>
          <w:color w:val="231F20"/>
          <w:sz w:val="20"/>
          <w:szCs w:val="20"/>
          <w:lang w:val="en-US"/>
        </w:rPr>
        <w:t>Diagonal Symphony</w:t>
      </w:r>
      <w:r w:rsidRPr="00321374">
        <w:rPr>
          <w:color w:val="231F20"/>
          <w:sz w:val="20"/>
          <w:szCs w:val="20"/>
          <w:lang w:val="en-US"/>
        </w:rPr>
        <w:t xml:space="preserve"> (1921–1924) by Viking Eggeling, </w:t>
      </w:r>
      <w:r w:rsidRPr="00321374">
        <w:rPr>
          <w:i/>
          <w:iCs/>
          <w:color w:val="231F20"/>
          <w:sz w:val="20"/>
          <w:szCs w:val="20"/>
          <w:lang w:val="en-US"/>
        </w:rPr>
        <w:t>Opus I–V</w:t>
      </w:r>
      <w:r w:rsidRPr="00321374">
        <w:rPr>
          <w:color w:val="231F20"/>
          <w:sz w:val="20"/>
          <w:szCs w:val="20"/>
          <w:lang w:val="en-US"/>
        </w:rPr>
        <w:t xml:space="preserve"> (1919–1923) by Walter Ruttmann, and Oskar Fischinger’s </w:t>
      </w:r>
      <w:r w:rsidRPr="00321374">
        <w:rPr>
          <w:i/>
          <w:iCs/>
          <w:color w:val="231F20"/>
          <w:sz w:val="20"/>
          <w:szCs w:val="20"/>
          <w:lang w:val="en-US"/>
        </w:rPr>
        <w:t>Studie 1–13</w:t>
      </w:r>
      <w:r w:rsidRPr="00321374">
        <w:rPr>
          <w:color w:val="231F20"/>
          <w:sz w:val="20"/>
          <w:szCs w:val="20"/>
          <w:lang w:val="en-US"/>
        </w:rPr>
        <w:t xml:space="preserve"> (1929–1936)</w:t>
      </w:r>
      <w:r w:rsidR="00241B4C" w:rsidRPr="00321374">
        <w:rPr>
          <w:color w:val="231F20"/>
          <w:sz w:val="20"/>
          <w:szCs w:val="20"/>
          <w:lang w:val="en-US"/>
        </w:rPr>
        <w:t xml:space="preserve">. </w:t>
      </w:r>
    </w:p>
    <w:p w14:paraId="448A9E77"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1F70C73C" w14:textId="6A80A18A"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 the arrival of sound cinema, a new film genre emerged: the musical film. In these productions, dance constitutes a central element through various musical numbers, which may or may not be integrated into the film’s diegesis. Regarding the ways audiovisual language is used to record choreography in musical films, two opposing viewpoints can be identified: that of Fred Astaire, who </w:t>
      </w:r>
      <w:r w:rsidR="00FA21F5" w:rsidRPr="00321374">
        <w:rPr>
          <w:color w:val="231F20"/>
          <w:sz w:val="20"/>
          <w:szCs w:val="20"/>
          <w:lang w:val="en-US"/>
        </w:rPr>
        <w:t>emphasized</w:t>
      </w:r>
      <w:r w:rsidRPr="00321374">
        <w:rPr>
          <w:color w:val="231F20"/>
          <w:sz w:val="20"/>
          <w:szCs w:val="20"/>
          <w:lang w:val="en-US"/>
        </w:rPr>
        <w:t xml:space="preserve"> the need to use a minimal number of shots so as not to interfere with the performance of the dance (Dodds, 2004; </w:t>
      </w:r>
      <w:proofErr w:type="spellStart"/>
      <w:r w:rsidRPr="00321374">
        <w:rPr>
          <w:color w:val="231F20"/>
          <w:sz w:val="20"/>
          <w:szCs w:val="20"/>
          <w:lang w:val="en-US"/>
        </w:rPr>
        <w:t>Marimón</w:t>
      </w:r>
      <w:proofErr w:type="spellEnd"/>
      <w:r w:rsidRPr="00321374">
        <w:rPr>
          <w:color w:val="231F20"/>
          <w:sz w:val="20"/>
          <w:szCs w:val="20"/>
          <w:lang w:val="en-US"/>
        </w:rPr>
        <w:t xml:space="preserve">, 2014), and that of Busby Berkeley, in which dance is created according to the planning of the recording apparatus, establishing a choreography of the camera itself (Pérez </w:t>
      </w:r>
      <w:proofErr w:type="spellStart"/>
      <w:r w:rsidRPr="00321374">
        <w:rPr>
          <w:color w:val="231F20"/>
          <w:sz w:val="20"/>
          <w:szCs w:val="20"/>
          <w:lang w:val="en-US"/>
        </w:rPr>
        <w:t>Ornia</w:t>
      </w:r>
      <w:proofErr w:type="spellEnd"/>
      <w:r w:rsidRPr="00321374">
        <w:rPr>
          <w:color w:val="231F20"/>
          <w:sz w:val="20"/>
          <w:szCs w:val="20"/>
          <w:lang w:val="en-US"/>
        </w:rPr>
        <w:t>, 1991; Monaco, 2000)</w:t>
      </w:r>
      <w:r w:rsidR="00241B4C" w:rsidRPr="00321374">
        <w:rPr>
          <w:color w:val="231F20"/>
          <w:sz w:val="20"/>
          <w:szCs w:val="20"/>
          <w:lang w:val="en-US"/>
        </w:rPr>
        <w:t>.</w:t>
      </w:r>
    </w:p>
    <w:p w14:paraId="0EFB4A93"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4497FB60" w14:textId="53E7E765"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Thus, three ways in which dance appears in audiovisual and cinematic form can be identified: (1) in a naturalistic manner, as part of the story’s diegesis, where characters dance within their social context; (2) in an experimental mode, presenting different viewpoints in the capture of dance; and (3) through the exploration of effects using post-production techniques, subordinating dance to camera planning</w:t>
      </w:r>
      <w:r w:rsidR="00241B4C" w:rsidRPr="00321374">
        <w:rPr>
          <w:color w:val="231F20"/>
          <w:sz w:val="20"/>
          <w:szCs w:val="20"/>
          <w:lang w:val="en-US"/>
        </w:rPr>
        <w:t xml:space="preserve">. </w:t>
      </w:r>
    </w:p>
    <w:p w14:paraId="1C883EB9"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15935CA8" w14:textId="2475966E"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Between the 1930s and 1940s, with the expansion of television into private homes, dance events began to be included as part of broadcast programming (Valentín-</w:t>
      </w:r>
      <w:proofErr w:type="spellStart"/>
      <w:r w:rsidRPr="00321374">
        <w:rPr>
          <w:color w:val="231F20"/>
          <w:sz w:val="20"/>
          <w:szCs w:val="20"/>
          <w:lang w:val="en-US"/>
        </w:rPr>
        <w:t>Gamazo</w:t>
      </w:r>
      <w:proofErr w:type="spellEnd"/>
      <w:r w:rsidRPr="00321374">
        <w:rPr>
          <w:color w:val="231F20"/>
          <w:sz w:val="20"/>
          <w:szCs w:val="20"/>
          <w:lang w:val="en-US"/>
        </w:rPr>
        <w:t xml:space="preserve"> &amp; Camarero, 2019). One example is </w:t>
      </w:r>
      <w:r w:rsidRPr="00321374">
        <w:rPr>
          <w:i/>
          <w:iCs/>
          <w:color w:val="231F20"/>
          <w:sz w:val="20"/>
          <w:szCs w:val="20"/>
          <w:lang w:val="en-US"/>
        </w:rPr>
        <w:t>The Ed Sullivan Show</w:t>
      </w:r>
      <w:r w:rsidRPr="00321374">
        <w:rPr>
          <w:color w:val="231F20"/>
          <w:sz w:val="20"/>
          <w:szCs w:val="20"/>
          <w:lang w:val="en-US"/>
        </w:rPr>
        <w:t xml:space="preserve"> (1948–1955), which in each </w:t>
      </w:r>
      <w:r w:rsidR="00F605A0" w:rsidRPr="00321374">
        <w:rPr>
          <w:color w:val="231F20"/>
          <w:sz w:val="20"/>
          <w:szCs w:val="20"/>
          <w:lang w:val="en-US"/>
        </w:rPr>
        <w:t>program</w:t>
      </w:r>
      <w:r w:rsidRPr="00321374">
        <w:rPr>
          <w:color w:val="231F20"/>
          <w:sz w:val="20"/>
          <w:szCs w:val="20"/>
          <w:lang w:val="en-US"/>
        </w:rPr>
        <w:t xml:space="preserve"> included musical performances whose creators often danced. However, this type of audiovisual planning remained a record of what was occurring in the studio, without any manipulation of the image (Dodds, 2004)</w:t>
      </w:r>
      <w:r w:rsidR="00241B4C" w:rsidRPr="00321374">
        <w:rPr>
          <w:color w:val="231F20"/>
          <w:sz w:val="20"/>
          <w:szCs w:val="20"/>
          <w:lang w:val="en-US"/>
        </w:rPr>
        <w:t xml:space="preserve">. </w:t>
      </w:r>
    </w:p>
    <w:p w14:paraId="3BC48565"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51565725" w14:textId="48F2AF26"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Audiovisual recordings or filmed dances are works whose sole purpose is the literal translation of a theatrical performance into an audiovisual format, without the intention of adding meaning through the use of production or post-production techniques. However, this type of dance recording, which may function as a form of choreographic notation allowing the choreography to be preserved or restaged (Rosenberg, 2012), does not convey the same emotional impact that a dancer can communicate to a live audience (Olenina, 2016)</w:t>
      </w:r>
      <w:r w:rsidR="00241B4C" w:rsidRPr="00321374">
        <w:rPr>
          <w:color w:val="231F20"/>
          <w:sz w:val="20"/>
          <w:szCs w:val="20"/>
          <w:lang w:val="en-US"/>
        </w:rPr>
        <w:t>.</w:t>
      </w:r>
    </w:p>
    <w:p w14:paraId="5B959C0A"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785A1688" w14:textId="6C1970FB"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Such filmed dances were also broadcast on British television in the 1930s under primitive conditions, where in most cases only a fixed long shot was used, showing the entire stage space (Penman, 1993). This type of recording departs from a specific planning process aimed at producing a unique work that could be considered dance for the screen, without taking into account the possibilities of audiovisual language</w:t>
      </w:r>
      <w:r w:rsidR="00241B4C" w:rsidRPr="00321374">
        <w:rPr>
          <w:color w:val="231F20"/>
          <w:sz w:val="20"/>
          <w:szCs w:val="20"/>
          <w:lang w:val="en-US"/>
        </w:rPr>
        <w:t xml:space="preserve">. </w:t>
      </w:r>
    </w:p>
    <w:p w14:paraId="550B9824"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331F556B" w14:textId="2622EC2C"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From the 1960s onwards, the BBC began broadcasting dance recordings that were not only filmed in the studio but also captured in theatres. In addition, </w:t>
      </w:r>
      <w:r w:rsidR="00FA21F5" w:rsidRPr="00321374">
        <w:rPr>
          <w:color w:val="231F20"/>
          <w:sz w:val="20"/>
          <w:szCs w:val="20"/>
          <w:lang w:val="en-US"/>
        </w:rPr>
        <w:t>programs</w:t>
      </w:r>
      <w:r w:rsidRPr="00321374">
        <w:rPr>
          <w:color w:val="231F20"/>
          <w:sz w:val="20"/>
          <w:szCs w:val="20"/>
          <w:lang w:val="en-US"/>
        </w:rPr>
        <w:t xml:space="preserve"> from other channels began to be acquired in order to allow the public access to these performances, which they might otherwise not be able to afford (Dodds, 2004)</w:t>
      </w:r>
      <w:r w:rsidR="00241B4C" w:rsidRPr="00321374">
        <w:rPr>
          <w:color w:val="231F20"/>
          <w:sz w:val="20"/>
          <w:szCs w:val="20"/>
          <w:lang w:val="en-US"/>
        </w:rPr>
        <w:t>.</w:t>
      </w:r>
    </w:p>
    <w:p w14:paraId="638AA4B7"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541CC702" w14:textId="2008FC14"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lastRenderedPageBreak/>
        <w:t xml:space="preserve">With the emergence of the Sony Portapak in the 1960s, the possibility of producing audiovisual projects became </w:t>
      </w:r>
      <w:r w:rsidR="00FA21F5" w:rsidRPr="00321374">
        <w:rPr>
          <w:color w:val="231F20"/>
          <w:sz w:val="20"/>
          <w:szCs w:val="20"/>
          <w:lang w:val="en-US"/>
        </w:rPr>
        <w:t>democratized</w:t>
      </w:r>
      <w:r w:rsidRPr="00321374">
        <w:rPr>
          <w:color w:val="231F20"/>
          <w:sz w:val="20"/>
          <w:szCs w:val="20"/>
          <w:lang w:val="en-US"/>
        </w:rPr>
        <w:t xml:space="preserve"> through the use of a new medium: video. From this moment onward, and supported by the social and cultural transformations of the period, different types of audiovisual works began to emerge that explored the limits of audiovisual language, including video art, video performance, and what is now referred to as screendance</w:t>
      </w:r>
      <w:r w:rsidR="00241B4C" w:rsidRPr="00321374">
        <w:rPr>
          <w:color w:val="231F20"/>
          <w:sz w:val="20"/>
          <w:szCs w:val="20"/>
          <w:lang w:val="en-US"/>
        </w:rPr>
        <w:t xml:space="preserve">. </w:t>
      </w:r>
    </w:p>
    <w:p w14:paraId="525DC9D7"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6F0B6919" w14:textId="14A18B53"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Within this artistic renewal, experimentation began with possible </w:t>
      </w:r>
      <w:r w:rsidR="00FA21F5" w:rsidRPr="00321374">
        <w:rPr>
          <w:color w:val="231F20"/>
          <w:sz w:val="20"/>
          <w:szCs w:val="20"/>
          <w:lang w:val="en-US"/>
        </w:rPr>
        <w:t>hybridization</w:t>
      </w:r>
      <w:r w:rsidRPr="00321374">
        <w:rPr>
          <w:color w:val="231F20"/>
          <w:sz w:val="20"/>
          <w:szCs w:val="20"/>
          <w:lang w:val="en-US"/>
        </w:rPr>
        <w:t xml:space="preserve"> between video and performance art (Fernández Consuegra, 2017), video as conceptual art (Baigorri, 2007), video and land art (Rosenberg, 2012), and video and dance (Burt, 2006). According to Pérez </w:t>
      </w:r>
      <w:proofErr w:type="spellStart"/>
      <w:r w:rsidRPr="00321374">
        <w:rPr>
          <w:color w:val="231F20"/>
          <w:sz w:val="20"/>
          <w:szCs w:val="20"/>
          <w:lang w:val="en-US"/>
        </w:rPr>
        <w:t>Ornia</w:t>
      </w:r>
      <w:proofErr w:type="spellEnd"/>
      <w:r w:rsidRPr="00321374">
        <w:rPr>
          <w:color w:val="231F20"/>
          <w:sz w:val="20"/>
          <w:szCs w:val="20"/>
          <w:lang w:val="en-US"/>
        </w:rPr>
        <w:t xml:space="preserve"> (1991), these pioneers engaged with the new medium from an artistic perspective rather than from traditional filmic or televisual practice, giving rise to new types of audiovisual works</w:t>
      </w:r>
      <w:r w:rsidR="00241B4C" w:rsidRPr="00321374">
        <w:rPr>
          <w:color w:val="231F20"/>
          <w:sz w:val="20"/>
          <w:szCs w:val="20"/>
          <w:lang w:val="en-US"/>
        </w:rPr>
        <w:t xml:space="preserve">. </w:t>
      </w:r>
    </w:p>
    <w:p w14:paraId="0B0154E2"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23CBC7F7" w14:textId="599A6FE9"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In the field of the music video, dance may appear in two ways: in a dramatic mode, in which dancers perform a role expressed through bodily language rather than dialogue, as in narrative fiction; and in a second mode that </w:t>
      </w:r>
      <w:r w:rsidR="00FA21F5" w:rsidRPr="00321374">
        <w:rPr>
          <w:color w:val="231F20"/>
          <w:sz w:val="20"/>
          <w:szCs w:val="20"/>
          <w:lang w:val="en-US"/>
        </w:rPr>
        <w:t>decontextualizes</w:t>
      </w:r>
      <w:r w:rsidRPr="00321374">
        <w:rPr>
          <w:color w:val="231F20"/>
          <w:sz w:val="20"/>
          <w:szCs w:val="20"/>
          <w:lang w:val="en-US"/>
        </w:rPr>
        <w:t xml:space="preserve"> dance from the audiovisual product, including fragmented images that do not form part of the diegesis and therefore have no connection to the lyrics of the song (Buckland &amp; Stewart, 1993). In this regard, </w:t>
      </w:r>
      <w:proofErr w:type="spellStart"/>
      <w:r w:rsidRPr="00321374">
        <w:rPr>
          <w:color w:val="231F20"/>
          <w:sz w:val="20"/>
          <w:szCs w:val="20"/>
          <w:lang w:val="en-US"/>
        </w:rPr>
        <w:t>Marimón</w:t>
      </w:r>
      <w:proofErr w:type="spellEnd"/>
      <w:r w:rsidRPr="00321374">
        <w:rPr>
          <w:color w:val="231F20"/>
          <w:sz w:val="20"/>
          <w:szCs w:val="20"/>
          <w:lang w:val="en-US"/>
        </w:rPr>
        <w:t xml:space="preserve"> (2014) explains that dance appears only as a dynamic complement providing movement, whose purpose is to help market the product in question, namely the musical track</w:t>
      </w:r>
      <w:r w:rsidR="00241B4C" w:rsidRPr="00321374">
        <w:rPr>
          <w:color w:val="231F20"/>
          <w:sz w:val="20"/>
          <w:szCs w:val="20"/>
          <w:lang w:val="en-US"/>
        </w:rPr>
        <w:t xml:space="preserve">. </w:t>
      </w:r>
    </w:p>
    <w:p w14:paraId="2FFE9C4D"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5BC30726" w14:textId="632132FF"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However, the audiovisual approach to the use of dance in the music video is not innovative: it is presented using the codes of fiction cinema, or manipulated so that the piece itself “dances, jumps, spins and explodes, similar to what Busby Berkeley did” (Billman, 2002, p. 17)</w:t>
      </w:r>
      <w:r w:rsidR="00241B4C" w:rsidRPr="00321374">
        <w:rPr>
          <w:color w:val="231F20"/>
          <w:sz w:val="20"/>
          <w:szCs w:val="20"/>
          <w:lang w:val="en-US"/>
        </w:rPr>
        <w:t xml:space="preserve">. </w:t>
      </w:r>
    </w:p>
    <w:p w14:paraId="1B394DFB"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63F63463" w14:textId="425E1ADD"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It is worth noting that, just as film directors and audiovisual creators became interested in dance and sought ways to incorporate it into their projects, choreographers and performers within the field of dance also developed an interest in cinematic techniques. However, this interest </w:t>
      </w:r>
      <w:r w:rsidR="00FA21F5" w:rsidRPr="00321374">
        <w:rPr>
          <w:color w:val="231F20"/>
          <w:sz w:val="20"/>
          <w:szCs w:val="20"/>
          <w:lang w:val="en-US"/>
        </w:rPr>
        <w:t>materialized</w:t>
      </w:r>
      <w:r w:rsidRPr="00321374">
        <w:rPr>
          <w:color w:val="231F20"/>
          <w:sz w:val="20"/>
          <w:szCs w:val="20"/>
          <w:lang w:val="en-US"/>
        </w:rPr>
        <w:t xml:space="preserve"> in different ways of using the medium beyond the creation of a film, such as the projection of recorded images onto the costumes of dancer and choreographer </w:t>
      </w:r>
      <w:proofErr w:type="spellStart"/>
      <w:r w:rsidRPr="00321374">
        <w:rPr>
          <w:color w:val="231F20"/>
          <w:sz w:val="20"/>
          <w:szCs w:val="20"/>
          <w:lang w:val="en-US"/>
        </w:rPr>
        <w:t>Loïe</w:t>
      </w:r>
      <w:proofErr w:type="spellEnd"/>
      <w:r w:rsidRPr="00321374">
        <w:rPr>
          <w:color w:val="231F20"/>
          <w:sz w:val="20"/>
          <w:szCs w:val="20"/>
          <w:lang w:val="en-US"/>
        </w:rPr>
        <w:t xml:space="preserve"> Fuller, or the incorporation of video </w:t>
      </w:r>
      <w:proofErr w:type="spellStart"/>
      <w:r w:rsidRPr="00321374">
        <w:rPr>
          <w:color w:val="231F20"/>
          <w:sz w:val="20"/>
          <w:szCs w:val="20"/>
          <w:lang w:val="en-US"/>
        </w:rPr>
        <w:t>scenographies</w:t>
      </w:r>
      <w:proofErr w:type="spellEnd"/>
      <w:r w:rsidRPr="00321374">
        <w:rPr>
          <w:color w:val="231F20"/>
          <w:sz w:val="20"/>
          <w:szCs w:val="20"/>
          <w:lang w:val="en-US"/>
        </w:rPr>
        <w:t xml:space="preserve"> as part of the staging of choreographies intended for theatrical performance (Dixon, 2015)</w:t>
      </w:r>
      <w:r w:rsidR="00241B4C" w:rsidRPr="00321374">
        <w:rPr>
          <w:color w:val="231F20"/>
          <w:sz w:val="20"/>
          <w:szCs w:val="20"/>
          <w:lang w:val="en-US"/>
        </w:rPr>
        <w:t>.</w:t>
      </w:r>
    </w:p>
    <w:p w14:paraId="1922FC07"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7744B645" w14:textId="66CB3C24"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According to </w:t>
      </w:r>
      <w:proofErr w:type="spellStart"/>
      <w:r w:rsidRPr="00321374">
        <w:rPr>
          <w:color w:val="231F20"/>
          <w:sz w:val="20"/>
          <w:szCs w:val="20"/>
          <w:lang w:val="en-US"/>
        </w:rPr>
        <w:t>Giesekam</w:t>
      </w:r>
      <w:proofErr w:type="spellEnd"/>
      <w:r w:rsidRPr="00321374">
        <w:rPr>
          <w:color w:val="231F20"/>
          <w:sz w:val="20"/>
          <w:szCs w:val="20"/>
          <w:lang w:val="en-US"/>
        </w:rPr>
        <w:t xml:space="preserve"> (2007), regarding the use of video projections in dance or theatre performances, there are three ways of incorporating them: (1) as scenography that supports the narrative of the work, (2) as a medium that forms part of the work’s diegesis in different scenes, and (3) as a spectacular effect intended to produce the sensation of a large-scale, technologically enhanced production</w:t>
      </w:r>
      <w:r w:rsidR="00241B4C" w:rsidRPr="00321374">
        <w:rPr>
          <w:color w:val="231F20"/>
          <w:sz w:val="20"/>
          <w:szCs w:val="20"/>
          <w:lang w:val="en-US"/>
        </w:rPr>
        <w:t xml:space="preserve">. </w:t>
      </w:r>
    </w:p>
    <w:p w14:paraId="125A4797"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28D27DDF" w14:textId="0C32DE24"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Therefore, identifying the precursors of screendance works may prove complex, particularly given that these audiovisual texts take shape within postmodernism, where </w:t>
      </w:r>
      <w:r w:rsidRPr="00321374">
        <w:rPr>
          <w:color w:val="231F20"/>
          <w:sz w:val="20"/>
          <w:szCs w:val="20"/>
          <w:lang w:val="en-US"/>
        </w:rPr>
        <w:lastRenderedPageBreak/>
        <w:t>the boundaries between different types of cultural production become blurred (Bhabha, 2004), established narratives are rejected (Lyotard, 1984), and a diversity of styles coexist within the same artistic domain (Jameson, 1990)</w:t>
      </w:r>
      <w:r w:rsidR="00241B4C" w:rsidRPr="00321374">
        <w:rPr>
          <w:color w:val="231F20"/>
          <w:sz w:val="20"/>
          <w:szCs w:val="20"/>
          <w:lang w:val="en-US"/>
        </w:rPr>
        <w:t>.</w:t>
      </w:r>
    </w:p>
    <w:p w14:paraId="2E339F51"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2236421D" w14:textId="5EB6E134" w:rsidR="00241B4C" w:rsidRPr="00321374" w:rsidRDefault="000F5E6D" w:rsidP="00241B4C">
      <w:pPr>
        <w:pStyle w:val="Ttulo1"/>
        <w:widowControl/>
        <w:numPr>
          <w:ilvl w:val="0"/>
          <w:numId w:val="3"/>
        </w:numPr>
        <w:spacing w:after="80"/>
        <w:rPr>
          <w:rFonts w:ascii="Garamond" w:eastAsia="Garamond" w:hAnsi="Garamond" w:cs="Garamond"/>
          <w:b/>
          <w:color w:val="98361E"/>
          <w:lang w:val="en-US"/>
        </w:rPr>
      </w:pPr>
      <w:r w:rsidRPr="00321374">
        <w:rPr>
          <w:rFonts w:ascii="Garamond" w:eastAsia="Garamond" w:hAnsi="Garamond" w:cs="Garamond"/>
          <w:b/>
          <w:color w:val="98361E"/>
          <w:lang w:val="en-US"/>
        </w:rPr>
        <w:t>Methodology</w:t>
      </w:r>
    </w:p>
    <w:p w14:paraId="16932928" w14:textId="77777777" w:rsidR="00241B4C" w:rsidRPr="00321374" w:rsidRDefault="00241B4C" w:rsidP="000F5E6D">
      <w:pPr>
        <w:rPr>
          <w:lang w:val="en-US"/>
        </w:rPr>
      </w:pPr>
    </w:p>
    <w:p w14:paraId="51A746EF" w14:textId="3CB4C523"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To achieve our objective and, within the Spanish context, we employed a sequential mixed-methods approach. First, we applied the content analysis technique and developed a specific model for the observation of screendance works. Once the results had been </w:t>
      </w:r>
      <w:r w:rsidR="00FA21F5" w:rsidRPr="00321374">
        <w:rPr>
          <w:color w:val="231F20"/>
          <w:sz w:val="20"/>
          <w:szCs w:val="20"/>
          <w:lang w:val="en-US"/>
        </w:rPr>
        <w:t>analyzed</w:t>
      </w:r>
      <w:r w:rsidRPr="00321374">
        <w:rPr>
          <w:color w:val="231F20"/>
          <w:sz w:val="20"/>
          <w:szCs w:val="20"/>
          <w:lang w:val="en-US"/>
        </w:rPr>
        <w:t>, we proceeded to a second qualitative phase involving the observation, identification, analysis, and comparison of concepts related to the audiovisual praxis of traditional fiction cinema, as well as experimental cinema, musical cinema, video art, video performance, and the music video, in order to determine whether the results obtained in the quantitative phase indicated a use of cinematic language comparable to that of other audiovisual texts</w:t>
      </w:r>
      <w:r w:rsidR="00241B4C" w:rsidRPr="00321374">
        <w:rPr>
          <w:color w:val="231F20"/>
          <w:sz w:val="20"/>
          <w:szCs w:val="20"/>
          <w:lang w:val="en-US"/>
        </w:rPr>
        <w:t xml:space="preserve">. </w:t>
      </w:r>
    </w:p>
    <w:p w14:paraId="637EFCCD"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1959313E" w14:textId="012E2790"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To construct the sample, we relied on the official selections of Spanish festivals that are currently active and that program screendance works as their primary activity, from their inception through 2024, the year in which this research began. We relied on the curatorial work of these festivals because they function as </w:t>
      </w:r>
      <w:r w:rsidR="00F605A0">
        <w:rPr>
          <w:color w:val="231F20"/>
          <w:sz w:val="20"/>
          <w:szCs w:val="20"/>
          <w:lang w:val="en-US"/>
        </w:rPr>
        <w:t>curatorial hubs</w:t>
      </w:r>
      <w:r w:rsidRPr="00321374">
        <w:rPr>
          <w:color w:val="231F20"/>
          <w:sz w:val="20"/>
          <w:szCs w:val="20"/>
          <w:lang w:val="en-US"/>
        </w:rPr>
        <w:t xml:space="preserve"> in a field where no specific market exists for this type of audiovisual text. The selected festivals were: [c] Screen Festival, </w:t>
      </w:r>
      <w:proofErr w:type="spellStart"/>
      <w:r w:rsidRPr="00321374">
        <w:rPr>
          <w:color w:val="231F20"/>
          <w:sz w:val="20"/>
          <w:szCs w:val="20"/>
          <w:lang w:val="en-US"/>
        </w:rPr>
        <w:t>Choreoscope</w:t>
      </w:r>
      <w:proofErr w:type="spellEnd"/>
      <w:r w:rsidRPr="00321374">
        <w:rPr>
          <w:color w:val="231F20"/>
          <w:sz w:val="20"/>
          <w:szCs w:val="20"/>
          <w:lang w:val="en-US"/>
        </w:rPr>
        <w:t xml:space="preserve">, </w:t>
      </w:r>
      <w:proofErr w:type="spellStart"/>
      <w:r w:rsidRPr="00321374">
        <w:rPr>
          <w:color w:val="231F20"/>
          <w:sz w:val="20"/>
          <w:szCs w:val="20"/>
          <w:lang w:val="en-US"/>
        </w:rPr>
        <w:t>DanzaTac</w:t>
      </w:r>
      <w:proofErr w:type="spellEnd"/>
      <w:r w:rsidRPr="00321374">
        <w:rPr>
          <w:color w:val="231F20"/>
          <w:sz w:val="20"/>
          <w:szCs w:val="20"/>
          <w:lang w:val="en-US"/>
        </w:rPr>
        <w:t xml:space="preserve">, EIVV, Festival de Videodanza de Palma, Fiver Screendance Festival, Mitz, and </w:t>
      </w:r>
      <w:proofErr w:type="spellStart"/>
      <w:r w:rsidRPr="00321374">
        <w:rPr>
          <w:color w:val="231F20"/>
          <w:sz w:val="20"/>
          <w:szCs w:val="20"/>
          <w:lang w:val="en-US"/>
        </w:rPr>
        <w:t>Zinetica</w:t>
      </w:r>
      <w:proofErr w:type="spellEnd"/>
      <w:r w:rsidRPr="00321374">
        <w:rPr>
          <w:color w:val="231F20"/>
          <w:sz w:val="20"/>
          <w:szCs w:val="20"/>
          <w:lang w:val="en-US"/>
        </w:rPr>
        <w:t xml:space="preserve"> Festival</w:t>
      </w:r>
      <w:r w:rsidR="00241B4C" w:rsidRPr="00321374">
        <w:rPr>
          <w:color w:val="231F20"/>
          <w:sz w:val="20"/>
          <w:szCs w:val="20"/>
          <w:lang w:val="en-US"/>
        </w:rPr>
        <w:t xml:space="preserve">. </w:t>
      </w:r>
    </w:p>
    <w:p w14:paraId="57F92AF6"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0DC2D904" w14:textId="7FAEE212"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First, we identified all the works selected by the festivals and excluded any film that could be considered an audiovisual recording of dance, a music video, or a documentary about dance. We also excluded all screendance works that were not openly accessible and whose restricted availability could limit observational analysis. Ultimately, our universe consisted of 562 audiovisual texts</w:t>
      </w:r>
      <w:r w:rsidR="00241B4C" w:rsidRPr="00321374">
        <w:rPr>
          <w:color w:val="231F20"/>
          <w:sz w:val="20"/>
          <w:szCs w:val="20"/>
          <w:lang w:val="en-US"/>
        </w:rPr>
        <w:t xml:space="preserve">. </w:t>
      </w:r>
    </w:p>
    <w:p w14:paraId="3B9E84A8"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070C187E" w14:textId="39F96AE6"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To ensure that our sample was representative, we established an </w:t>
      </w:r>
      <w:r w:rsidR="00F605A0">
        <w:rPr>
          <w:color w:val="231F20"/>
          <w:sz w:val="20"/>
          <w:szCs w:val="20"/>
          <w:lang w:val="en-US"/>
        </w:rPr>
        <w:t xml:space="preserve">a margin of error </w:t>
      </w:r>
      <w:r w:rsidRPr="00321374">
        <w:rPr>
          <w:color w:val="231F20"/>
          <w:sz w:val="20"/>
          <w:szCs w:val="20"/>
          <w:lang w:val="en-US"/>
        </w:rPr>
        <w:t xml:space="preserve">of 0.3; consequently, our sample consisted of 160 screendance works, which were stratified by year. For the selection of each work, we used a random procedure, assigning a number to each screendance work by year and selecting them using </w:t>
      </w:r>
      <w:r w:rsidR="00F605A0">
        <w:rPr>
          <w:color w:val="231F20"/>
          <w:sz w:val="20"/>
          <w:szCs w:val="20"/>
          <w:lang w:val="en-US"/>
        </w:rPr>
        <w:t>a</w:t>
      </w:r>
      <w:r w:rsidRPr="00321374">
        <w:rPr>
          <w:color w:val="231F20"/>
          <w:sz w:val="20"/>
          <w:szCs w:val="20"/>
          <w:lang w:val="en-US"/>
        </w:rPr>
        <w:t xml:space="preserve"> random </w:t>
      </w:r>
      <w:r w:rsidR="00F605A0">
        <w:rPr>
          <w:color w:val="231F20"/>
          <w:sz w:val="20"/>
          <w:szCs w:val="20"/>
          <w:lang w:val="en-US"/>
        </w:rPr>
        <w:t>number generator</w:t>
      </w:r>
      <w:r w:rsidR="00241B4C" w:rsidRPr="00321374">
        <w:rPr>
          <w:color w:val="231F20"/>
          <w:sz w:val="20"/>
          <w:szCs w:val="20"/>
          <w:lang w:val="en-US"/>
        </w:rPr>
        <w:t>.</w:t>
      </w:r>
    </w:p>
    <w:p w14:paraId="6FB22FD8"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7614496D" w14:textId="0B5F84F8"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For the observation of the audiovisual language of screendance in the first phase of the research, we developed a basic analytical model with the aim of identifying different tendencies in screendance works. For this purpose, we drew on the research of </w:t>
      </w:r>
      <w:proofErr w:type="spellStart"/>
      <w:r w:rsidRPr="00321374">
        <w:rPr>
          <w:color w:val="231F20"/>
          <w:sz w:val="20"/>
          <w:szCs w:val="20"/>
          <w:lang w:val="en-US"/>
        </w:rPr>
        <w:t>Zunzunegui</w:t>
      </w:r>
      <w:proofErr w:type="spellEnd"/>
      <w:r w:rsidRPr="00321374">
        <w:rPr>
          <w:color w:val="231F20"/>
          <w:sz w:val="20"/>
          <w:szCs w:val="20"/>
          <w:lang w:val="en-US"/>
        </w:rPr>
        <w:t xml:space="preserve"> (2008), Gómez Tarín (2015), Carmona (2016), Fernández Díez and Martínez Abadía (2016), </w:t>
      </w:r>
      <w:proofErr w:type="spellStart"/>
      <w:r w:rsidRPr="00321374">
        <w:rPr>
          <w:color w:val="231F20"/>
          <w:sz w:val="20"/>
          <w:szCs w:val="20"/>
          <w:lang w:val="en-US"/>
        </w:rPr>
        <w:t>Casetti</w:t>
      </w:r>
      <w:proofErr w:type="spellEnd"/>
      <w:r w:rsidRPr="00321374">
        <w:rPr>
          <w:color w:val="231F20"/>
          <w:sz w:val="20"/>
          <w:szCs w:val="20"/>
          <w:lang w:val="en-US"/>
        </w:rPr>
        <w:t xml:space="preserve"> and Di Chio (2017), and Bordwell et al. (2020)</w:t>
      </w:r>
      <w:r w:rsidR="00241B4C" w:rsidRPr="00321374">
        <w:rPr>
          <w:color w:val="231F20"/>
          <w:sz w:val="20"/>
          <w:szCs w:val="20"/>
          <w:lang w:val="en-US"/>
        </w:rPr>
        <w:t>.</w:t>
      </w:r>
    </w:p>
    <w:p w14:paraId="06ED8822"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0351C886" w14:textId="07989CD9" w:rsidR="00241B4C" w:rsidRPr="00321374" w:rsidRDefault="000F5E6D"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We </w:t>
      </w:r>
      <w:r w:rsidR="00FA21F5" w:rsidRPr="00321374">
        <w:rPr>
          <w:color w:val="231F20"/>
          <w:sz w:val="20"/>
          <w:szCs w:val="20"/>
          <w:lang w:val="en-US"/>
        </w:rPr>
        <w:t>organized</w:t>
      </w:r>
      <w:r w:rsidRPr="00321374">
        <w:rPr>
          <w:color w:val="231F20"/>
          <w:sz w:val="20"/>
          <w:szCs w:val="20"/>
          <w:lang w:val="en-US"/>
        </w:rPr>
        <w:t xml:space="preserve"> the analytical model around five variables: Narrative idea, Types of cut, Type of experimentation, Type of movement, and Type of choreography. Within the </w:t>
      </w:r>
      <w:r w:rsidRPr="00321374">
        <w:rPr>
          <w:color w:val="231F20"/>
          <w:sz w:val="20"/>
          <w:szCs w:val="20"/>
          <w:lang w:val="en-US"/>
        </w:rPr>
        <w:lastRenderedPageBreak/>
        <w:t>variable Narrative idea, we proposed five categories to identify the type of idea presented in the screendance work: Narrative, which tells a story; Descriptive, which merely describes a location or event; Expressive, which seeks to generate an emotion in the viewer; Symbolic, whose meaning relies on symbols; and Conceptual, whose purpose is the transmission of a concept. Within the variable Types of cut, we proposed the following categories:</w:t>
      </w:r>
    </w:p>
    <w:p w14:paraId="5D509F4B" w14:textId="77777777" w:rsidR="00241B4C" w:rsidRPr="00321374" w:rsidRDefault="00241B4C" w:rsidP="00241B4C">
      <w:pPr>
        <w:widowControl/>
        <w:pBdr>
          <w:top w:val="nil"/>
          <w:left w:val="nil"/>
          <w:bottom w:val="nil"/>
          <w:right w:val="nil"/>
          <w:between w:val="nil"/>
        </w:pBdr>
        <w:spacing w:after="80"/>
        <w:ind w:left="426" w:right="370"/>
        <w:jc w:val="both"/>
        <w:rPr>
          <w:color w:val="231F20"/>
          <w:sz w:val="20"/>
          <w:szCs w:val="20"/>
          <w:lang w:val="en-US"/>
        </w:rPr>
      </w:pPr>
    </w:p>
    <w:p w14:paraId="73865BC6" w14:textId="0007079E" w:rsidR="00241B4C" w:rsidRPr="00321374" w:rsidRDefault="000F5E6D" w:rsidP="0005554C">
      <w:pPr>
        <w:pStyle w:val="Prrafodelista"/>
        <w:widowControl/>
        <w:numPr>
          <w:ilvl w:val="0"/>
          <w:numId w:val="5"/>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Invisible, to identify works whose editing style was based on continuity editing, in which the spectator perceives no spatiotemporal rupture. Continuity editing can be achieved through established rules of audiovisual praxis</w:t>
      </w:r>
      <w:r w:rsidR="00241B4C" w:rsidRPr="00321374">
        <w:rPr>
          <w:rFonts w:ascii="Garamond" w:hAnsi="Garamond"/>
          <w:color w:val="231F20"/>
          <w:sz w:val="20"/>
          <w:szCs w:val="20"/>
          <w:lang w:val="en-US"/>
        </w:rPr>
        <w:t xml:space="preserve">. </w:t>
      </w:r>
    </w:p>
    <w:p w14:paraId="047BA363" w14:textId="7F64599E" w:rsidR="00241B4C" w:rsidRPr="00321374" w:rsidRDefault="000F5E6D" w:rsidP="0005554C">
      <w:pPr>
        <w:pStyle w:val="Prrafodelista"/>
        <w:widowControl/>
        <w:numPr>
          <w:ilvl w:val="0"/>
          <w:numId w:val="5"/>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Jump cut, to identify screendance works that do not attempt to maintain invisibility, making cuts perceptible to the spectator and thereby producing spatiotemporal disruption</w:t>
      </w:r>
      <w:r w:rsidR="00241B4C" w:rsidRPr="00321374">
        <w:rPr>
          <w:rFonts w:ascii="Garamond" w:hAnsi="Garamond"/>
          <w:color w:val="231F20"/>
          <w:sz w:val="20"/>
          <w:szCs w:val="20"/>
          <w:lang w:val="en-US"/>
        </w:rPr>
        <w:t>.</w:t>
      </w:r>
    </w:p>
    <w:p w14:paraId="1637B91A" w14:textId="15E9C63C" w:rsidR="00241B4C" w:rsidRPr="00321374" w:rsidRDefault="000F5E6D" w:rsidP="0005554C">
      <w:pPr>
        <w:pStyle w:val="Prrafodelista"/>
        <w:widowControl/>
        <w:numPr>
          <w:ilvl w:val="0"/>
          <w:numId w:val="5"/>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Space jump, to distinguish works in which changes of location are achieved through the choreographed movement of a dancer who begins a movement in one location and, through a cut during the movement, completes the action in another space</w:t>
      </w:r>
      <w:r w:rsidR="00241B4C" w:rsidRPr="00321374">
        <w:rPr>
          <w:rFonts w:ascii="Garamond" w:hAnsi="Garamond"/>
          <w:color w:val="231F20"/>
          <w:sz w:val="20"/>
          <w:szCs w:val="20"/>
          <w:lang w:val="en-US"/>
        </w:rPr>
        <w:t xml:space="preserve">. </w:t>
      </w:r>
    </w:p>
    <w:p w14:paraId="72C4CD65" w14:textId="7C56F069" w:rsidR="00241B4C" w:rsidRPr="00321374" w:rsidRDefault="000F5E6D" w:rsidP="0005554C">
      <w:pPr>
        <w:pStyle w:val="Prrafodelista"/>
        <w:widowControl/>
        <w:numPr>
          <w:ilvl w:val="0"/>
          <w:numId w:val="5"/>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Cross-cutting, to identify editing that alternates between two scenes occurring simultaneously in different locations</w:t>
      </w:r>
      <w:r w:rsidR="00241B4C" w:rsidRPr="00321374">
        <w:rPr>
          <w:rFonts w:ascii="Garamond" w:hAnsi="Garamond"/>
          <w:color w:val="231F20"/>
          <w:sz w:val="20"/>
          <w:szCs w:val="20"/>
          <w:lang w:val="en-US"/>
        </w:rPr>
        <w:t xml:space="preserve">. </w:t>
      </w:r>
    </w:p>
    <w:p w14:paraId="021FEEE4" w14:textId="77777777" w:rsidR="0005554C" w:rsidRPr="00321374" w:rsidRDefault="0005554C" w:rsidP="0005554C">
      <w:pPr>
        <w:pStyle w:val="Prrafodelista"/>
        <w:widowControl/>
        <w:pBdr>
          <w:top w:val="nil"/>
          <w:left w:val="nil"/>
          <w:bottom w:val="nil"/>
          <w:right w:val="nil"/>
          <w:between w:val="nil"/>
        </w:pBdr>
        <w:spacing w:after="80"/>
        <w:ind w:left="1146" w:right="370"/>
        <w:jc w:val="both"/>
        <w:rPr>
          <w:color w:val="231F20"/>
          <w:sz w:val="20"/>
          <w:szCs w:val="20"/>
          <w:lang w:val="en-US"/>
        </w:rPr>
      </w:pPr>
    </w:p>
    <w:p w14:paraId="03088951" w14:textId="11AB4CA7" w:rsidR="00241B4C" w:rsidRPr="00321374" w:rsidRDefault="007B5CBE"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Within the variable Types of experimentation, we sought to identify the type of image manipulation employed from an audiovisual perspective, proposing the following categories</w:t>
      </w:r>
      <w:r w:rsidR="00241B4C" w:rsidRPr="00321374">
        <w:rPr>
          <w:color w:val="231F20"/>
          <w:sz w:val="20"/>
          <w:szCs w:val="20"/>
          <w:lang w:val="en-US"/>
        </w:rPr>
        <w:t>:</w:t>
      </w:r>
    </w:p>
    <w:p w14:paraId="79889202" w14:textId="2C2209FE" w:rsidR="00241B4C" w:rsidRPr="00321374" w:rsidRDefault="007B5CBE" w:rsidP="0005554C">
      <w:pPr>
        <w:pStyle w:val="Prrafodelista"/>
        <w:widowControl/>
        <w:numPr>
          <w:ilvl w:val="0"/>
          <w:numId w:val="6"/>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None, to identify works that employ no manipulation of the image and simply present the performers’ choreography as such</w:t>
      </w:r>
      <w:r w:rsidR="00241B4C" w:rsidRPr="00321374">
        <w:rPr>
          <w:rFonts w:ascii="Garamond" w:hAnsi="Garamond"/>
          <w:color w:val="231F20"/>
          <w:sz w:val="20"/>
          <w:szCs w:val="20"/>
          <w:lang w:val="en-US"/>
        </w:rPr>
        <w:t xml:space="preserve">. </w:t>
      </w:r>
    </w:p>
    <w:p w14:paraId="07564FAB" w14:textId="467516A5" w:rsidR="00241B4C" w:rsidRPr="00321374" w:rsidRDefault="007B5CBE" w:rsidP="0005554C">
      <w:pPr>
        <w:pStyle w:val="Prrafodelista"/>
        <w:widowControl/>
        <w:numPr>
          <w:ilvl w:val="0"/>
          <w:numId w:val="6"/>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Points of view, to distinguish works that employ different viewpoints from which to observe the choreography, exploring framing in order to present atypical images.</w:t>
      </w:r>
    </w:p>
    <w:p w14:paraId="153AFDC2" w14:textId="38F82E6D" w:rsidR="00241B4C" w:rsidRPr="00321374" w:rsidRDefault="007B5CBE" w:rsidP="0005554C">
      <w:pPr>
        <w:pStyle w:val="Prrafodelista"/>
        <w:widowControl/>
        <w:numPr>
          <w:ilvl w:val="0"/>
          <w:numId w:val="6"/>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Temporal manipulation, to identify screendance works that alter temporal linearity and therefore employ effects relating to the order, duration, or frequency of events</w:t>
      </w:r>
      <w:r w:rsidR="00241B4C" w:rsidRPr="00321374">
        <w:rPr>
          <w:rFonts w:ascii="Garamond" w:hAnsi="Garamond"/>
          <w:color w:val="231F20"/>
          <w:sz w:val="20"/>
          <w:szCs w:val="20"/>
          <w:lang w:val="en-US"/>
        </w:rPr>
        <w:t xml:space="preserve">. </w:t>
      </w:r>
    </w:p>
    <w:p w14:paraId="1325BC84" w14:textId="59B12301" w:rsidR="00241B4C" w:rsidRPr="00321374" w:rsidRDefault="007B5CBE" w:rsidP="0005554C">
      <w:pPr>
        <w:pStyle w:val="Prrafodelista"/>
        <w:widowControl/>
        <w:numPr>
          <w:ilvl w:val="0"/>
          <w:numId w:val="6"/>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Spatial manipulation, to identify works that distort space, either through the manipulation of spatial perception or through the violation of the physical laws of reality, such as suspending performers in mid-air</w:t>
      </w:r>
      <w:r w:rsidR="00241B4C" w:rsidRPr="00321374">
        <w:rPr>
          <w:rFonts w:ascii="Garamond" w:hAnsi="Garamond"/>
          <w:color w:val="231F20"/>
          <w:sz w:val="20"/>
          <w:szCs w:val="20"/>
          <w:lang w:val="en-US"/>
        </w:rPr>
        <w:t xml:space="preserve">. </w:t>
      </w:r>
    </w:p>
    <w:p w14:paraId="29BDE0E8" w14:textId="72D0AB12" w:rsidR="00241B4C" w:rsidRPr="00321374" w:rsidRDefault="007B5CBE" w:rsidP="0005554C">
      <w:pPr>
        <w:pStyle w:val="Prrafodelista"/>
        <w:widowControl/>
        <w:numPr>
          <w:ilvl w:val="0"/>
          <w:numId w:val="6"/>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Image manipulation, to identify screendance works that employ post-production effects that alter or distort the image</w:t>
      </w:r>
      <w:r w:rsidR="00241B4C" w:rsidRPr="00321374">
        <w:rPr>
          <w:rFonts w:ascii="Garamond" w:hAnsi="Garamond"/>
          <w:color w:val="231F20"/>
          <w:sz w:val="20"/>
          <w:szCs w:val="20"/>
          <w:lang w:val="en-US"/>
        </w:rPr>
        <w:t>.</w:t>
      </w:r>
    </w:p>
    <w:p w14:paraId="7469ECA9" w14:textId="308A4B80" w:rsidR="00241B4C" w:rsidRPr="00321374" w:rsidRDefault="007B5CBE" w:rsidP="0005554C">
      <w:pPr>
        <w:pStyle w:val="Prrafodelista"/>
        <w:widowControl/>
        <w:numPr>
          <w:ilvl w:val="0"/>
          <w:numId w:val="6"/>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Body manipulation, to distinguish works whose focus is the experimental distortion of the performer’s body through post-production effects</w:t>
      </w:r>
      <w:r w:rsidR="00241B4C" w:rsidRPr="00321374">
        <w:rPr>
          <w:rFonts w:ascii="Garamond" w:hAnsi="Garamond"/>
          <w:color w:val="231F20"/>
          <w:sz w:val="20"/>
          <w:szCs w:val="20"/>
          <w:lang w:val="en-US"/>
        </w:rPr>
        <w:t xml:space="preserve">. </w:t>
      </w:r>
    </w:p>
    <w:p w14:paraId="425AEFCC" w14:textId="77777777" w:rsidR="0005554C" w:rsidRPr="00321374" w:rsidRDefault="0005554C" w:rsidP="0005554C">
      <w:pPr>
        <w:pStyle w:val="Prrafodelista"/>
        <w:widowControl/>
        <w:pBdr>
          <w:top w:val="nil"/>
          <w:left w:val="nil"/>
          <w:bottom w:val="nil"/>
          <w:right w:val="nil"/>
          <w:between w:val="nil"/>
        </w:pBdr>
        <w:spacing w:after="80"/>
        <w:ind w:left="1146" w:right="370"/>
        <w:jc w:val="both"/>
        <w:rPr>
          <w:color w:val="231F20"/>
          <w:sz w:val="20"/>
          <w:szCs w:val="20"/>
          <w:lang w:val="en-US"/>
        </w:rPr>
      </w:pPr>
    </w:p>
    <w:p w14:paraId="1EA8FB12" w14:textId="561E307A" w:rsidR="00241B4C" w:rsidRPr="00321374" w:rsidRDefault="007B5CBE"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 regard to the variable Type of movement, we proposed the following categories: Body, to identify screendance works in which movement originates from the performer’s body, whether real or digital; Camera, to identify works in which choreographed movement derives from camera movement; Editing, to distinguish works in which </w:t>
      </w:r>
      <w:r w:rsidRPr="00321374">
        <w:rPr>
          <w:color w:val="231F20"/>
          <w:sz w:val="20"/>
          <w:szCs w:val="20"/>
          <w:lang w:val="en-US"/>
        </w:rPr>
        <w:lastRenderedPageBreak/>
        <w:t>choreography is created through cuts or transitions between shots; and Effects, to identify works in which dance is created through image manipulation using post-production effects</w:t>
      </w:r>
      <w:r w:rsidR="00241B4C" w:rsidRPr="00321374">
        <w:rPr>
          <w:color w:val="231F20"/>
          <w:sz w:val="20"/>
          <w:szCs w:val="20"/>
          <w:lang w:val="en-US"/>
        </w:rPr>
        <w:t xml:space="preserve">. </w:t>
      </w:r>
    </w:p>
    <w:p w14:paraId="758FC607" w14:textId="77777777" w:rsidR="0005554C" w:rsidRPr="00321374" w:rsidRDefault="0005554C" w:rsidP="00241B4C">
      <w:pPr>
        <w:widowControl/>
        <w:pBdr>
          <w:top w:val="nil"/>
          <w:left w:val="nil"/>
          <w:bottom w:val="nil"/>
          <w:right w:val="nil"/>
          <w:between w:val="nil"/>
        </w:pBdr>
        <w:spacing w:after="80"/>
        <w:ind w:left="426" w:right="370"/>
        <w:jc w:val="both"/>
        <w:rPr>
          <w:color w:val="231F20"/>
          <w:sz w:val="20"/>
          <w:szCs w:val="20"/>
          <w:lang w:val="en-US"/>
        </w:rPr>
      </w:pPr>
    </w:p>
    <w:p w14:paraId="53B495C3" w14:textId="3BABB720" w:rsidR="00241B4C" w:rsidRPr="00321374" w:rsidRDefault="007B5CBE"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Within the variable Type of choreography, we proposed the following categories: Traditional, to identify works in which choreography is created conventionally through one or more performers executing dance movements; In association with the camera, to identify works in which choreography is shaped according to shot planning; Conceptual, to distinguish works whose choreographic idea is conceptual; and Appropriated means, to identify works constructed using images borrowed from other audiovisual works</w:t>
      </w:r>
      <w:r w:rsidR="00241B4C" w:rsidRPr="00321374">
        <w:rPr>
          <w:color w:val="231F20"/>
          <w:sz w:val="20"/>
          <w:szCs w:val="20"/>
          <w:lang w:val="en-US"/>
        </w:rPr>
        <w:t xml:space="preserve">. </w:t>
      </w:r>
    </w:p>
    <w:p w14:paraId="31DFE5ED" w14:textId="77777777" w:rsidR="0005554C" w:rsidRPr="00321374" w:rsidRDefault="0005554C" w:rsidP="00241B4C">
      <w:pPr>
        <w:widowControl/>
        <w:pBdr>
          <w:top w:val="nil"/>
          <w:left w:val="nil"/>
          <w:bottom w:val="nil"/>
          <w:right w:val="nil"/>
          <w:between w:val="nil"/>
        </w:pBdr>
        <w:spacing w:after="80"/>
        <w:ind w:left="426" w:right="370"/>
        <w:jc w:val="both"/>
        <w:rPr>
          <w:color w:val="231F20"/>
          <w:sz w:val="20"/>
          <w:szCs w:val="20"/>
          <w:lang w:val="en-US"/>
        </w:rPr>
      </w:pPr>
    </w:p>
    <w:p w14:paraId="51E24AD5" w14:textId="5FF9B107" w:rsidR="00241B4C" w:rsidRPr="00321374" w:rsidRDefault="007B5CBE"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Given that different categories may appear within a single screendance work, we measured all categories using a two-level scale: Present, to indicate that the category appeared in at least half of the </w:t>
      </w:r>
      <w:proofErr w:type="spellStart"/>
      <w:r w:rsidRPr="00321374">
        <w:rPr>
          <w:color w:val="231F20"/>
          <w:sz w:val="20"/>
          <w:szCs w:val="20"/>
          <w:lang w:val="en-US"/>
        </w:rPr>
        <w:t>screendance’s</w:t>
      </w:r>
      <w:proofErr w:type="spellEnd"/>
      <w:r w:rsidRPr="00321374">
        <w:rPr>
          <w:color w:val="231F20"/>
          <w:sz w:val="20"/>
          <w:szCs w:val="20"/>
          <w:lang w:val="en-US"/>
        </w:rPr>
        <w:t xml:space="preserve"> duration; and Absent, to identify works that did not employ the category at any point</w:t>
      </w:r>
      <w:r w:rsidR="00241B4C" w:rsidRPr="00321374">
        <w:rPr>
          <w:color w:val="231F20"/>
          <w:sz w:val="20"/>
          <w:szCs w:val="20"/>
          <w:lang w:val="en-US"/>
        </w:rPr>
        <w:t>.</w:t>
      </w:r>
    </w:p>
    <w:p w14:paraId="772A98DA" w14:textId="77777777" w:rsidR="0005554C" w:rsidRPr="00321374" w:rsidRDefault="0005554C" w:rsidP="00241B4C">
      <w:pPr>
        <w:widowControl/>
        <w:pBdr>
          <w:top w:val="nil"/>
          <w:left w:val="nil"/>
          <w:bottom w:val="nil"/>
          <w:right w:val="nil"/>
          <w:between w:val="nil"/>
        </w:pBdr>
        <w:spacing w:after="80"/>
        <w:ind w:left="426" w:right="370"/>
        <w:jc w:val="both"/>
        <w:rPr>
          <w:color w:val="231F20"/>
          <w:sz w:val="20"/>
          <w:szCs w:val="20"/>
          <w:lang w:val="en-US"/>
        </w:rPr>
      </w:pPr>
    </w:p>
    <w:p w14:paraId="269EAD1D" w14:textId="50B5C940" w:rsidR="00241B4C" w:rsidRPr="00321374" w:rsidRDefault="007B5CBE" w:rsidP="00241B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Once the results had been </w:t>
      </w:r>
      <w:r w:rsidR="00FA21F5" w:rsidRPr="00321374">
        <w:rPr>
          <w:color w:val="231F20"/>
          <w:sz w:val="20"/>
          <w:szCs w:val="20"/>
          <w:lang w:val="en-US"/>
        </w:rPr>
        <w:t>analyzed</w:t>
      </w:r>
      <w:r w:rsidRPr="00321374">
        <w:rPr>
          <w:color w:val="231F20"/>
          <w:sz w:val="20"/>
          <w:szCs w:val="20"/>
          <w:lang w:val="en-US"/>
        </w:rPr>
        <w:t xml:space="preserve">, we reviewed the principal characteristics of audiovisual language in traditional fiction </w:t>
      </w:r>
      <w:r w:rsidR="00321374" w:rsidRPr="00321374">
        <w:rPr>
          <w:color w:val="231F20"/>
          <w:sz w:val="20"/>
          <w:szCs w:val="20"/>
          <w:lang w:val="en-US"/>
        </w:rPr>
        <w:t>films</w:t>
      </w:r>
      <w:r w:rsidRPr="00321374">
        <w:rPr>
          <w:color w:val="231F20"/>
          <w:sz w:val="20"/>
          <w:szCs w:val="20"/>
          <w:lang w:val="en-US"/>
        </w:rPr>
        <w:t>, experimental and avant-garde cinema, video art, video performance, and the music video, and proceeded to determine whether these characteristics also appear in screendance, thereby identifying these types of audiovisual production as its precursors</w:t>
      </w:r>
      <w:r w:rsidR="00241B4C" w:rsidRPr="00321374">
        <w:rPr>
          <w:color w:val="231F20"/>
          <w:sz w:val="20"/>
          <w:szCs w:val="20"/>
          <w:lang w:val="en-US"/>
        </w:rPr>
        <w:t>.</w:t>
      </w:r>
    </w:p>
    <w:p w14:paraId="4C14A73E" w14:textId="77777777" w:rsidR="00723A3D" w:rsidRPr="00321374" w:rsidRDefault="00723A3D" w:rsidP="00045F95">
      <w:pPr>
        <w:widowControl/>
        <w:pBdr>
          <w:top w:val="nil"/>
          <w:left w:val="nil"/>
          <w:bottom w:val="nil"/>
          <w:right w:val="nil"/>
          <w:between w:val="nil"/>
        </w:pBdr>
        <w:spacing w:after="80"/>
        <w:ind w:left="426" w:right="370"/>
        <w:jc w:val="both"/>
        <w:rPr>
          <w:color w:val="231F20"/>
          <w:sz w:val="20"/>
          <w:szCs w:val="20"/>
          <w:lang w:val="en-US"/>
        </w:rPr>
      </w:pPr>
    </w:p>
    <w:p w14:paraId="2DA72BB2" w14:textId="3A90DDA4" w:rsidR="0005554C" w:rsidRPr="00321374" w:rsidRDefault="007B5CBE" w:rsidP="0005554C">
      <w:pPr>
        <w:pStyle w:val="Ttulo1"/>
        <w:widowControl/>
        <w:numPr>
          <w:ilvl w:val="0"/>
          <w:numId w:val="3"/>
        </w:numPr>
        <w:spacing w:after="80"/>
        <w:rPr>
          <w:rFonts w:ascii="Garamond" w:eastAsia="Garamond" w:hAnsi="Garamond" w:cs="Garamond"/>
          <w:b/>
          <w:color w:val="98361E"/>
          <w:lang w:val="en-US"/>
        </w:rPr>
      </w:pPr>
      <w:r w:rsidRPr="00321374">
        <w:rPr>
          <w:rFonts w:ascii="Garamond" w:eastAsia="Garamond" w:hAnsi="Garamond" w:cs="Garamond"/>
          <w:b/>
          <w:color w:val="98361E"/>
          <w:lang w:val="en-US"/>
        </w:rPr>
        <w:t>Results and Discussion</w:t>
      </w:r>
    </w:p>
    <w:p w14:paraId="014428F4" w14:textId="77777777" w:rsidR="0005554C" w:rsidRPr="00321374" w:rsidRDefault="0005554C" w:rsidP="0005554C">
      <w:pPr>
        <w:pStyle w:val="Ttulo1"/>
        <w:widowControl/>
        <w:spacing w:after="80"/>
        <w:ind w:left="426"/>
        <w:rPr>
          <w:rFonts w:ascii="Garamond" w:eastAsia="Garamond" w:hAnsi="Garamond" w:cs="Garamond"/>
          <w:color w:val="98361E"/>
          <w:lang w:val="en-US"/>
        </w:rPr>
      </w:pPr>
    </w:p>
    <w:p w14:paraId="704B95FF" w14:textId="22D3293F" w:rsidR="0005554C" w:rsidRPr="00321374" w:rsidRDefault="007B5CBE" w:rsidP="000555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As noted above (cf. conceptual framework), dance may appear in traditional fiction cinema as part of the film’s diegesis or as part of a narrative pause in which a musical and dance number is introduced. Regardless of the reason musical scenes appear, their filming involves a form of planning and image capture intended to be </w:t>
      </w:r>
      <w:r w:rsidR="00FA21F5" w:rsidRPr="00321374">
        <w:rPr>
          <w:color w:val="231F20"/>
          <w:sz w:val="20"/>
          <w:szCs w:val="20"/>
          <w:lang w:val="en-US"/>
        </w:rPr>
        <w:t>organized</w:t>
      </w:r>
      <w:r w:rsidRPr="00321374">
        <w:rPr>
          <w:color w:val="231F20"/>
          <w:sz w:val="20"/>
          <w:szCs w:val="20"/>
          <w:lang w:val="en-US"/>
        </w:rPr>
        <w:t xml:space="preserve"> in the editing room so as to convey a sense of spatiotemporal continuity to the spectator, even when cuts are perceptible (Bordwell et al., 2020)</w:t>
      </w:r>
      <w:r w:rsidR="0005554C" w:rsidRPr="00321374">
        <w:rPr>
          <w:color w:val="231F20"/>
          <w:sz w:val="20"/>
          <w:szCs w:val="20"/>
          <w:lang w:val="en-US"/>
        </w:rPr>
        <w:t>.</w:t>
      </w:r>
    </w:p>
    <w:p w14:paraId="26FD1FFE" w14:textId="77777777" w:rsidR="0005554C" w:rsidRPr="00321374" w:rsidRDefault="0005554C" w:rsidP="0005554C">
      <w:pPr>
        <w:widowControl/>
        <w:pBdr>
          <w:top w:val="nil"/>
          <w:left w:val="nil"/>
          <w:bottom w:val="nil"/>
          <w:right w:val="nil"/>
          <w:between w:val="nil"/>
        </w:pBdr>
        <w:spacing w:after="80"/>
        <w:ind w:left="426" w:right="370"/>
        <w:jc w:val="both"/>
        <w:rPr>
          <w:color w:val="231F20"/>
          <w:sz w:val="20"/>
          <w:szCs w:val="20"/>
          <w:lang w:val="en-US"/>
        </w:rPr>
      </w:pPr>
    </w:p>
    <w:p w14:paraId="1EC6530C" w14:textId="194F4D5F" w:rsidR="0005554C" w:rsidRPr="00321374" w:rsidRDefault="007B5CBE" w:rsidP="000555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To achieve spatiotemporal continuity, a set of audiovisual resources and rules is employed, notably: the 30-degree rule, used to disguise the change between two shots of the same character (Edgard et al., 2016); the 180-degree rule, used in conversations between characters so that the spectator can understand their position and eyelines at all times (Morales Morante, 2013); cutting on movement, intended to direct the viewer’s attention to the action rather than the cut (Bordwell et al., 2020); and the maintenance of continuity (</w:t>
      </w:r>
      <w:proofErr w:type="spellStart"/>
      <w:r w:rsidRPr="00321374">
        <w:rPr>
          <w:color w:val="231F20"/>
          <w:sz w:val="20"/>
          <w:szCs w:val="20"/>
          <w:lang w:val="en-US"/>
        </w:rPr>
        <w:t>raccord</w:t>
      </w:r>
      <w:proofErr w:type="spellEnd"/>
      <w:r w:rsidRPr="00321374">
        <w:rPr>
          <w:color w:val="231F20"/>
          <w:sz w:val="20"/>
          <w:szCs w:val="20"/>
          <w:lang w:val="en-US"/>
        </w:rPr>
        <w:t>), to ensure that elements remain in the same positions and that the movements of characters and vehicles continue coherently across subsequent shots (</w:t>
      </w:r>
      <w:proofErr w:type="spellStart"/>
      <w:r w:rsidRPr="00321374">
        <w:rPr>
          <w:color w:val="231F20"/>
          <w:sz w:val="20"/>
          <w:szCs w:val="20"/>
          <w:lang w:val="en-US"/>
        </w:rPr>
        <w:t>Tarín</w:t>
      </w:r>
      <w:proofErr w:type="spellEnd"/>
      <w:r w:rsidRPr="00321374">
        <w:rPr>
          <w:color w:val="231F20"/>
          <w:sz w:val="20"/>
          <w:szCs w:val="20"/>
          <w:lang w:val="en-US"/>
        </w:rPr>
        <w:t>, 2015). Likewise, scenes filmed as a long take without any cuts can also be considered continuous (Fernández Díez &amp; Martínez Abadía, 2016)</w:t>
      </w:r>
      <w:r w:rsidR="0005554C" w:rsidRPr="00321374">
        <w:rPr>
          <w:color w:val="231F20"/>
          <w:sz w:val="20"/>
          <w:szCs w:val="20"/>
          <w:lang w:val="en-US"/>
        </w:rPr>
        <w:t xml:space="preserve">. </w:t>
      </w:r>
    </w:p>
    <w:p w14:paraId="2451F83C" w14:textId="77777777" w:rsidR="0005554C" w:rsidRPr="00321374" w:rsidRDefault="0005554C" w:rsidP="0005554C">
      <w:pPr>
        <w:widowControl/>
        <w:pBdr>
          <w:top w:val="nil"/>
          <w:left w:val="nil"/>
          <w:bottom w:val="nil"/>
          <w:right w:val="nil"/>
          <w:between w:val="nil"/>
        </w:pBdr>
        <w:spacing w:after="80"/>
        <w:ind w:left="426" w:right="370"/>
        <w:jc w:val="both"/>
        <w:rPr>
          <w:color w:val="231F20"/>
          <w:sz w:val="20"/>
          <w:szCs w:val="20"/>
          <w:lang w:val="en-US"/>
        </w:rPr>
      </w:pPr>
    </w:p>
    <w:p w14:paraId="2F8B98A0" w14:textId="325F3B03" w:rsidR="00241B4C" w:rsidRPr="00321374" w:rsidRDefault="007B5CBE" w:rsidP="0005554C">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lastRenderedPageBreak/>
        <w:t>As shown in Table 1, the screendance</w:t>
      </w:r>
      <w:r w:rsidR="00C47B35">
        <w:rPr>
          <w:color w:val="231F20"/>
          <w:sz w:val="20"/>
          <w:szCs w:val="20"/>
          <w:lang w:val="en-US"/>
        </w:rPr>
        <w:t xml:space="preserve"> </w:t>
      </w:r>
      <w:r w:rsidRPr="00321374">
        <w:rPr>
          <w:color w:val="231F20"/>
          <w:sz w:val="20"/>
          <w:szCs w:val="20"/>
          <w:lang w:val="en-US"/>
        </w:rPr>
        <w:t>Invisible</w:t>
      </w:r>
      <w:r w:rsidR="00C47B35">
        <w:rPr>
          <w:color w:val="231F20"/>
          <w:sz w:val="20"/>
          <w:szCs w:val="20"/>
          <w:lang w:val="en-US"/>
        </w:rPr>
        <w:t xml:space="preserve"> category</w:t>
      </w:r>
      <w:r w:rsidR="00FA21F5" w:rsidRPr="00321374">
        <w:rPr>
          <w:color w:val="231F20"/>
          <w:sz w:val="20"/>
          <w:szCs w:val="20"/>
          <w:lang w:val="en-US"/>
        </w:rPr>
        <w:t xml:space="preserve">, </w:t>
      </w:r>
      <w:r w:rsidRPr="00321374">
        <w:rPr>
          <w:color w:val="231F20"/>
          <w:sz w:val="20"/>
          <w:szCs w:val="20"/>
          <w:lang w:val="en-US"/>
        </w:rPr>
        <w:t>a category measuring the narrative continuity of dance scenes</w:t>
      </w:r>
      <w:r w:rsidR="00FA21F5" w:rsidRPr="00321374">
        <w:rPr>
          <w:color w:val="231F20"/>
          <w:sz w:val="20"/>
          <w:szCs w:val="20"/>
          <w:lang w:val="en-US"/>
        </w:rPr>
        <w:t xml:space="preserve">, </w:t>
      </w:r>
      <w:r w:rsidRPr="00321374">
        <w:rPr>
          <w:color w:val="231F20"/>
          <w:sz w:val="20"/>
          <w:szCs w:val="20"/>
          <w:lang w:val="en-US"/>
        </w:rPr>
        <w:t>appeared in more than 60% of the pieces. We also observed the use of the Narrative category in more than half of the sample, indicating that these works told a story, regardless of whether communication within the scenes occurred through words or through bodily movement</w:t>
      </w:r>
      <w:r w:rsidR="0005554C" w:rsidRPr="00321374">
        <w:rPr>
          <w:color w:val="231F20"/>
          <w:sz w:val="20"/>
          <w:szCs w:val="20"/>
          <w:lang w:val="en-US"/>
        </w:rPr>
        <w:t>.</w:t>
      </w:r>
    </w:p>
    <w:p w14:paraId="38808DE1" w14:textId="77777777" w:rsidR="00241B4C" w:rsidRPr="00321374" w:rsidRDefault="00241B4C" w:rsidP="00045F95">
      <w:pPr>
        <w:widowControl/>
        <w:pBdr>
          <w:top w:val="nil"/>
          <w:left w:val="nil"/>
          <w:bottom w:val="nil"/>
          <w:right w:val="nil"/>
          <w:between w:val="nil"/>
        </w:pBdr>
        <w:spacing w:after="80"/>
        <w:ind w:left="426" w:right="370"/>
        <w:jc w:val="both"/>
        <w:rPr>
          <w:color w:val="231F20"/>
          <w:sz w:val="20"/>
          <w:szCs w:val="20"/>
          <w:lang w:val="en-US"/>
        </w:rPr>
      </w:pPr>
    </w:p>
    <w:p w14:paraId="04A79B2D" w14:textId="757B4961" w:rsidR="00361C05" w:rsidRPr="00321374" w:rsidRDefault="00361C05" w:rsidP="00361C05">
      <w:pPr>
        <w:widowControl/>
        <w:pBdr>
          <w:top w:val="nil"/>
          <w:left w:val="nil"/>
          <w:bottom w:val="nil"/>
          <w:right w:val="nil"/>
          <w:between w:val="nil"/>
        </w:pBdr>
        <w:spacing w:after="80"/>
        <w:ind w:left="426" w:right="370"/>
        <w:jc w:val="center"/>
        <w:rPr>
          <w:color w:val="231F20"/>
          <w:sz w:val="20"/>
          <w:szCs w:val="20"/>
          <w:lang w:val="en-US"/>
        </w:rPr>
      </w:pPr>
      <w:r w:rsidRPr="00321374">
        <w:rPr>
          <w:color w:val="231F20"/>
          <w:sz w:val="20"/>
          <w:szCs w:val="20"/>
          <w:lang w:val="en-US"/>
        </w:rPr>
        <w:t>Tabl</w:t>
      </w:r>
      <w:r w:rsidR="007B5CBE" w:rsidRPr="00321374">
        <w:rPr>
          <w:color w:val="231F20"/>
          <w:sz w:val="20"/>
          <w:szCs w:val="20"/>
          <w:lang w:val="en-US"/>
        </w:rPr>
        <w:t>e</w:t>
      </w:r>
      <w:r w:rsidRPr="00321374">
        <w:rPr>
          <w:color w:val="231F20"/>
          <w:sz w:val="20"/>
          <w:szCs w:val="20"/>
          <w:lang w:val="en-US"/>
        </w:rPr>
        <w:t xml:space="preserve"> 1. </w:t>
      </w:r>
      <w:r w:rsidR="007B5CBE" w:rsidRPr="00321374">
        <w:rPr>
          <w:color w:val="231F20"/>
          <w:sz w:val="20"/>
          <w:szCs w:val="20"/>
          <w:lang w:val="en-US"/>
        </w:rPr>
        <w:t>Analytical model and results</w:t>
      </w:r>
    </w:p>
    <w:p w14:paraId="3B4FE7B0" w14:textId="77777777" w:rsidR="00361C05" w:rsidRPr="00321374" w:rsidRDefault="00361C05" w:rsidP="00361C05">
      <w:pPr>
        <w:widowControl/>
        <w:pBdr>
          <w:top w:val="nil"/>
          <w:left w:val="nil"/>
          <w:bottom w:val="nil"/>
          <w:right w:val="nil"/>
          <w:between w:val="nil"/>
        </w:pBdr>
        <w:spacing w:after="80"/>
        <w:ind w:left="426" w:right="370"/>
        <w:jc w:val="center"/>
        <w:rPr>
          <w:color w:val="231F20"/>
          <w:sz w:val="20"/>
          <w:szCs w:val="20"/>
          <w:lang w:val="en-US"/>
        </w:rPr>
      </w:pPr>
    </w:p>
    <w:tbl>
      <w:tblPr>
        <w:tblW w:w="6760" w:type="dxa"/>
        <w:jc w:val="center"/>
        <w:tblCellMar>
          <w:left w:w="70" w:type="dxa"/>
          <w:right w:w="70" w:type="dxa"/>
        </w:tblCellMar>
        <w:tblLook w:val="04A0" w:firstRow="1" w:lastRow="0" w:firstColumn="1" w:lastColumn="0" w:noHBand="0" w:noVBand="1"/>
      </w:tblPr>
      <w:tblGrid>
        <w:gridCol w:w="2020"/>
        <w:gridCol w:w="2280"/>
        <w:gridCol w:w="776"/>
        <w:gridCol w:w="960"/>
        <w:gridCol w:w="724"/>
      </w:tblGrid>
      <w:tr w:rsidR="00BC51E3" w:rsidRPr="00321374" w14:paraId="36040CD6" w14:textId="77777777" w:rsidTr="007B5CBE">
        <w:trPr>
          <w:trHeight w:val="260"/>
          <w:jc w:val="center"/>
        </w:trPr>
        <w:tc>
          <w:tcPr>
            <w:tcW w:w="20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D77C16"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Variable</w:t>
            </w:r>
          </w:p>
        </w:tc>
        <w:tc>
          <w:tcPr>
            <w:tcW w:w="2280" w:type="dxa"/>
            <w:tcBorders>
              <w:top w:val="single" w:sz="4" w:space="0" w:color="auto"/>
              <w:left w:val="nil"/>
              <w:bottom w:val="single" w:sz="4" w:space="0" w:color="auto"/>
              <w:right w:val="single" w:sz="4" w:space="0" w:color="auto"/>
            </w:tcBorders>
            <w:shd w:val="clear" w:color="000000" w:fill="D9D9D9"/>
            <w:noWrap/>
            <w:vAlign w:val="bottom"/>
            <w:hideMark/>
          </w:tcPr>
          <w:p w14:paraId="05C01A88" w14:textId="081D3DFB" w:rsidR="00BC51E3" w:rsidRPr="00321374" w:rsidRDefault="00321374" w:rsidP="00321374">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Category</w:t>
            </w:r>
          </w:p>
        </w:tc>
        <w:tc>
          <w:tcPr>
            <w:tcW w:w="776" w:type="dxa"/>
            <w:tcBorders>
              <w:top w:val="single" w:sz="4" w:space="0" w:color="auto"/>
              <w:left w:val="nil"/>
              <w:bottom w:val="single" w:sz="4" w:space="0" w:color="auto"/>
              <w:right w:val="single" w:sz="4" w:space="0" w:color="auto"/>
            </w:tcBorders>
            <w:shd w:val="clear" w:color="000000" w:fill="D9D9D9"/>
            <w:noWrap/>
            <w:vAlign w:val="bottom"/>
            <w:hideMark/>
          </w:tcPr>
          <w:p w14:paraId="35C69246" w14:textId="27331F35" w:rsidR="00BC51E3" w:rsidRPr="00321374" w:rsidRDefault="00321374" w:rsidP="00BC51E3">
            <w:pPr>
              <w:widowControl/>
              <w:jc w:val="center"/>
              <w:rPr>
                <w:rFonts w:eastAsia="Times New Roman" w:cs="Calibri"/>
                <w:color w:val="000000"/>
                <w:sz w:val="20"/>
                <w:szCs w:val="20"/>
                <w:lang w:val="en-US"/>
              </w:rPr>
            </w:pPr>
            <w:r>
              <w:rPr>
                <w:rFonts w:eastAsia="Times New Roman" w:cs="Calibri"/>
                <w:color w:val="000000"/>
                <w:sz w:val="20"/>
                <w:szCs w:val="20"/>
                <w:lang w:val="en-US"/>
              </w:rPr>
              <w:t>Present</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1DE64A1E" w14:textId="126FCA0E" w:rsidR="00BC51E3" w:rsidRPr="00321374" w:rsidRDefault="00321374" w:rsidP="00BC51E3">
            <w:pPr>
              <w:widowControl/>
              <w:jc w:val="center"/>
              <w:rPr>
                <w:rFonts w:eastAsia="Times New Roman" w:cs="Calibri"/>
                <w:color w:val="000000"/>
                <w:sz w:val="20"/>
                <w:szCs w:val="20"/>
                <w:lang w:val="en-US"/>
              </w:rPr>
            </w:pPr>
            <w:r>
              <w:rPr>
                <w:rFonts w:eastAsia="Times New Roman" w:cs="Calibri"/>
                <w:color w:val="000000"/>
                <w:sz w:val="20"/>
                <w:szCs w:val="20"/>
                <w:lang w:val="en-US"/>
              </w:rPr>
              <w:t>Absent</w:t>
            </w:r>
          </w:p>
        </w:tc>
        <w:tc>
          <w:tcPr>
            <w:tcW w:w="724" w:type="dxa"/>
            <w:tcBorders>
              <w:top w:val="single" w:sz="4" w:space="0" w:color="auto"/>
              <w:left w:val="nil"/>
              <w:bottom w:val="single" w:sz="4" w:space="0" w:color="auto"/>
              <w:right w:val="single" w:sz="4" w:space="0" w:color="auto"/>
            </w:tcBorders>
            <w:shd w:val="clear" w:color="000000" w:fill="D9D9D9"/>
            <w:noWrap/>
            <w:vAlign w:val="bottom"/>
            <w:hideMark/>
          </w:tcPr>
          <w:p w14:paraId="26B62DB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Total</w:t>
            </w:r>
          </w:p>
        </w:tc>
      </w:tr>
      <w:tr w:rsidR="00BC51E3" w:rsidRPr="00321374" w14:paraId="5025130D" w14:textId="77777777" w:rsidTr="007B5CBE">
        <w:trPr>
          <w:trHeight w:val="260"/>
          <w:jc w:val="center"/>
        </w:trPr>
        <w:tc>
          <w:tcPr>
            <w:tcW w:w="2020" w:type="dxa"/>
            <w:vMerge w:val="restart"/>
            <w:tcBorders>
              <w:top w:val="nil"/>
              <w:left w:val="single" w:sz="4" w:space="0" w:color="auto"/>
              <w:bottom w:val="single" w:sz="4" w:space="0" w:color="auto"/>
              <w:right w:val="single" w:sz="4" w:space="0" w:color="auto"/>
            </w:tcBorders>
            <w:noWrap/>
            <w:vAlign w:val="center"/>
            <w:hideMark/>
          </w:tcPr>
          <w:p w14:paraId="546D3B4B" w14:textId="1186689C" w:rsidR="00BC51E3" w:rsidRPr="00321374" w:rsidRDefault="007B5CBE"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Narrative idea</w:t>
            </w:r>
          </w:p>
        </w:tc>
        <w:tc>
          <w:tcPr>
            <w:tcW w:w="2280" w:type="dxa"/>
            <w:tcBorders>
              <w:top w:val="nil"/>
              <w:left w:val="nil"/>
              <w:bottom w:val="single" w:sz="4" w:space="0" w:color="auto"/>
              <w:right w:val="single" w:sz="4" w:space="0" w:color="auto"/>
            </w:tcBorders>
            <w:noWrap/>
            <w:vAlign w:val="bottom"/>
            <w:hideMark/>
          </w:tcPr>
          <w:p w14:paraId="7D888602" w14:textId="181CA67E"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Narrative</w:t>
            </w:r>
          </w:p>
        </w:tc>
        <w:tc>
          <w:tcPr>
            <w:tcW w:w="776" w:type="dxa"/>
            <w:tcBorders>
              <w:top w:val="nil"/>
              <w:left w:val="nil"/>
              <w:bottom w:val="single" w:sz="4" w:space="0" w:color="auto"/>
              <w:right w:val="single" w:sz="4" w:space="0" w:color="auto"/>
            </w:tcBorders>
            <w:noWrap/>
            <w:vAlign w:val="bottom"/>
            <w:hideMark/>
          </w:tcPr>
          <w:p w14:paraId="7989EBCA"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51,7%</w:t>
            </w:r>
          </w:p>
        </w:tc>
        <w:tc>
          <w:tcPr>
            <w:tcW w:w="960" w:type="dxa"/>
            <w:tcBorders>
              <w:top w:val="nil"/>
              <w:left w:val="nil"/>
              <w:bottom w:val="single" w:sz="4" w:space="0" w:color="auto"/>
              <w:right w:val="single" w:sz="4" w:space="0" w:color="auto"/>
            </w:tcBorders>
            <w:noWrap/>
            <w:vAlign w:val="bottom"/>
            <w:hideMark/>
          </w:tcPr>
          <w:p w14:paraId="3B27A855"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48,3%</w:t>
            </w:r>
          </w:p>
        </w:tc>
        <w:tc>
          <w:tcPr>
            <w:tcW w:w="724" w:type="dxa"/>
            <w:tcBorders>
              <w:top w:val="nil"/>
              <w:left w:val="nil"/>
              <w:bottom w:val="single" w:sz="4" w:space="0" w:color="auto"/>
              <w:right w:val="single" w:sz="4" w:space="0" w:color="auto"/>
            </w:tcBorders>
            <w:noWrap/>
            <w:vAlign w:val="bottom"/>
            <w:hideMark/>
          </w:tcPr>
          <w:p w14:paraId="7B7199C5"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04326594"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958B68F"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1B6067D0" w14:textId="5A80ABA4"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Descriptive</w:t>
            </w:r>
          </w:p>
        </w:tc>
        <w:tc>
          <w:tcPr>
            <w:tcW w:w="776" w:type="dxa"/>
            <w:tcBorders>
              <w:top w:val="nil"/>
              <w:left w:val="nil"/>
              <w:bottom w:val="single" w:sz="4" w:space="0" w:color="auto"/>
              <w:right w:val="single" w:sz="4" w:space="0" w:color="auto"/>
            </w:tcBorders>
            <w:noWrap/>
            <w:vAlign w:val="bottom"/>
            <w:hideMark/>
          </w:tcPr>
          <w:p w14:paraId="5C7B6490"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27,7%</w:t>
            </w:r>
          </w:p>
        </w:tc>
        <w:tc>
          <w:tcPr>
            <w:tcW w:w="960" w:type="dxa"/>
            <w:tcBorders>
              <w:top w:val="nil"/>
              <w:left w:val="nil"/>
              <w:bottom w:val="single" w:sz="4" w:space="0" w:color="auto"/>
              <w:right w:val="single" w:sz="4" w:space="0" w:color="auto"/>
            </w:tcBorders>
            <w:noWrap/>
            <w:vAlign w:val="bottom"/>
            <w:hideMark/>
          </w:tcPr>
          <w:p w14:paraId="04CDC587"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72,3%</w:t>
            </w:r>
          </w:p>
        </w:tc>
        <w:tc>
          <w:tcPr>
            <w:tcW w:w="724" w:type="dxa"/>
            <w:tcBorders>
              <w:top w:val="nil"/>
              <w:left w:val="nil"/>
              <w:bottom w:val="single" w:sz="4" w:space="0" w:color="auto"/>
              <w:right w:val="single" w:sz="4" w:space="0" w:color="auto"/>
            </w:tcBorders>
            <w:noWrap/>
            <w:vAlign w:val="bottom"/>
            <w:hideMark/>
          </w:tcPr>
          <w:p w14:paraId="651F7E05"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12320C45"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1C6F977D"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0135D26" w14:textId="78F79B7C"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Expressive</w:t>
            </w:r>
          </w:p>
        </w:tc>
        <w:tc>
          <w:tcPr>
            <w:tcW w:w="776" w:type="dxa"/>
            <w:tcBorders>
              <w:top w:val="nil"/>
              <w:left w:val="nil"/>
              <w:bottom w:val="single" w:sz="4" w:space="0" w:color="auto"/>
              <w:right w:val="single" w:sz="4" w:space="0" w:color="auto"/>
            </w:tcBorders>
            <w:noWrap/>
            <w:vAlign w:val="bottom"/>
            <w:hideMark/>
          </w:tcPr>
          <w:p w14:paraId="01E919E7"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32,9%</w:t>
            </w:r>
          </w:p>
        </w:tc>
        <w:tc>
          <w:tcPr>
            <w:tcW w:w="960" w:type="dxa"/>
            <w:tcBorders>
              <w:top w:val="nil"/>
              <w:left w:val="nil"/>
              <w:bottom w:val="single" w:sz="4" w:space="0" w:color="auto"/>
              <w:right w:val="single" w:sz="4" w:space="0" w:color="auto"/>
            </w:tcBorders>
            <w:noWrap/>
            <w:vAlign w:val="bottom"/>
            <w:hideMark/>
          </w:tcPr>
          <w:p w14:paraId="66937501"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67,1%</w:t>
            </w:r>
          </w:p>
        </w:tc>
        <w:tc>
          <w:tcPr>
            <w:tcW w:w="724" w:type="dxa"/>
            <w:tcBorders>
              <w:top w:val="nil"/>
              <w:left w:val="nil"/>
              <w:bottom w:val="single" w:sz="4" w:space="0" w:color="auto"/>
              <w:right w:val="single" w:sz="4" w:space="0" w:color="auto"/>
            </w:tcBorders>
            <w:noWrap/>
            <w:vAlign w:val="bottom"/>
            <w:hideMark/>
          </w:tcPr>
          <w:p w14:paraId="41FC96CD"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632717B7"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250D65B8"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E041598" w14:textId="0E959E47"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S</w:t>
            </w:r>
            <w:r w:rsidR="007B5CBE" w:rsidRPr="00321374">
              <w:rPr>
                <w:rFonts w:eastAsia="Times New Roman" w:cs="Calibri"/>
                <w:color w:val="000000"/>
                <w:sz w:val="20"/>
                <w:szCs w:val="20"/>
                <w:lang w:val="en-US"/>
              </w:rPr>
              <w:t>y</w:t>
            </w:r>
            <w:r w:rsidRPr="00321374">
              <w:rPr>
                <w:rFonts w:eastAsia="Times New Roman" w:cs="Calibri"/>
                <w:color w:val="000000"/>
                <w:sz w:val="20"/>
                <w:szCs w:val="20"/>
                <w:lang w:val="en-US"/>
              </w:rPr>
              <w:t>mb</w:t>
            </w:r>
            <w:r w:rsidR="007B5CBE" w:rsidRPr="00321374">
              <w:rPr>
                <w:rFonts w:eastAsia="Times New Roman" w:cs="Calibri"/>
                <w:color w:val="000000"/>
                <w:sz w:val="20"/>
                <w:szCs w:val="20"/>
                <w:lang w:val="en-US"/>
              </w:rPr>
              <w:t>olic</w:t>
            </w:r>
          </w:p>
        </w:tc>
        <w:tc>
          <w:tcPr>
            <w:tcW w:w="776" w:type="dxa"/>
            <w:tcBorders>
              <w:top w:val="nil"/>
              <w:left w:val="nil"/>
              <w:bottom w:val="single" w:sz="4" w:space="0" w:color="auto"/>
              <w:right w:val="single" w:sz="4" w:space="0" w:color="auto"/>
            </w:tcBorders>
            <w:noWrap/>
            <w:vAlign w:val="bottom"/>
            <w:hideMark/>
          </w:tcPr>
          <w:p w14:paraId="4DBD2236"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2,6%</w:t>
            </w:r>
          </w:p>
        </w:tc>
        <w:tc>
          <w:tcPr>
            <w:tcW w:w="960" w:type="dxa"/>
            <w:tcBorders>
              <w:top w:val="nil"/>
              <w:left w:val="nil"/>
              <w:bottom w:val="single" w:sz="4" w:space="0" w:color="auto"/>
              <w:right w:val="single" w:sz="4" w:space="0" w:color="auto"/>
            </w:tcBorders>
            <w:noWrap/>
            <w:vAlign w:val="bottom"/>
            <w:hideMark/>
          </w:tcPr>
          <w:p w14:paraId="6BD66215"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97,4%</w:t>
            </w:r>
          </w:p>
        </w:tc>
        <w:tc>
          <w:tcPr>
            <w:tcW w:w="724" w:type="dxa"/>
            <w:tcBorders>
              <w:top w:val="nil"/>
              <w:left w:val="nil"/>
              <w:bottom w:val="single" w:sz="4" w:space="0" w:color="auto"/>
              <w:right w:val="single" w:sz="4" w:space="0" w:color="auto"/>
            </w:tcBorders>
            <w:noWrap/>
            <w:vAlign w:val="bottom"/>
            <w:hideMark/>
          </w:tcPr>
          <w:p w14:paraId="1A7DB21F"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370B583B"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6DC5BA1E"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55820DA7" w14:textId="77777777"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Conceptual</w:t>
            </w:r>
          </w:p>
        </w:tc>
        <w:tc>
          <w:tcPr>
            <w:tcW w:w="776" w:type="dxa"/>
            <w:tcBorders>
              <w:top w:val="nil"/>
              <w:left w:val="nil"/>
              <w:bottom w:val="single" w:sz="4" w:space="0" w:color="auto"/>
              <w:right w:val="single" w:sz="4" w:space="0" w:color="auto"/>
            </w:tcBorders>
            <w:noWrap/>
            <w:vAlign w:val="bottom"/>
            <w:hideMark/>
          </w:tcPr>
          <w:p w14:paraId="7952AA23"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28,3%</w:t>
            </w:r>
          </w:p>
        </w:tc>
        <w:tc>
          <w:tcPr>
            <w:tcW w:w="960" w:type="dxa"/>
            <w:tcBorders>
              <w:top w:val="nil"/>
              <w:left w:val="nil"/>
              <w:bottom w:val="single" w:sz="4" w:space="0" w:color="auto"/>
              <w:right w:val="single" w:sz="4" w:space="0" w:color="auto"/>
            </w:tcBorders>
            <w:noWrap/>
            <w:vAlign w:val="bottom"/>
            <w:hideMark/>
          </w:tcPr>
          <w:p w14:paraId="7356052F"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71,7%</w:t>
            </w:r>
          </w:p>
        </w:tc>
        <w:tc>
          <w:tcPr>
            <w:tcW w:w="724" w:type="dxa"/>
            <w:tcBorders>
              <w:top w:val="nil"/>
              <w:left w:val="nil"/>
              <w:bottom w:val="single" w:sz="4" w:space="0" w:color="auto"/>
              <w:right w:val="single" w:sz="4" w:space="0" w:color="auto"/>
            </w:tcBorders>
            <w:noWrap/>
            <w:vAlign w:val="bottom"/>
            <w:hideMark/>
          </w:tcPr>
          <w:p w14:paraId="4611E1AC"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365E8B00" w14:textId="77777777" w:rsidTr="007B5CBE">
        <w:trPr>
          <w:trHeight w:val="260"/>
          <w:jc w:val="center"/>
        </w:trPr>
        <w:tc>
          <w:tcPr>
            <w:tcW w:w="2020" w:type="dxa"/>
            <w:vMerge w:val="restart"/>
            <w:tcBorders>
              <w:top w:val="nil"/>
              <w:left w:val="single" w:sz="4" w:space="0" w:color="auto"/>
              <w:bottom w:val="single" w:sz="4" w:space="0" w:color="auto"/>
              <w:right w:val="single" w:sz="4" w:space="0" w:color="auto"/>
            </w:tcBorders>
            <w:noWrap/>
            <w:vAlign w:val="center"/>
            <w:hideMark/>
          </w:tcPr>
          <w:p w14:paraId="4944939E" w14:textId="269E89FA" w:rsidR="00BC51E3" w:rsidRPr="00321374" w:rsidRDefault="007B5CBE"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Types of cut</w:t>
            </w:r>
          </w:p>
        </w:tc>
        <w:tc>
          <w:tcPr>
            <w:tcW w:w="2280" w:type="dxa"/>
            <w:tcBorders>
              <w:top w:val="nil"/>
              <w:left w:val="nil"/>
              <w:bottom w:val="single" w:sz="4" w:space="0" w:color="auto"/>
              <w:right w:val="single" w:sz="4" w:space="0" w:color="auto"/>
            </w:tcBorders>
            <w:noWrap/>
            <w:vAlign w:val="bottom"/>
            <w:hideMark/>
          </w:tcPr>
          <w:p w14:paraId="66DFF97A" w14:textId="77777777"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Invisible</w:t>
            </w:r>
          </w:p>
        </w:tc>
        <w:tc>
          <w:tcPr>
            <w:tcW w:w="776" w:type="dxa"/>
            <w:tcBorders>
              <w:top w:val="nil"/>
              <w:left w:val="nil"/>
              <w:bottom w:val="single" w:sz="4" w:space="0" w:color="auto"/>
              <w:right w:val="single" w:sz="4" w:space="0" w:color="auto"/>
            </w:tcBorders>
            <w:noWrap/>
            <w:vAlign w:val="bottom"/>
            <w:hideMark/>
          </w:tcPr>
          <w:p w14:paraId="3972986F"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64,5%</w:t>
            </w:r>
          </w:p>
        </w:tc>
        <w:tc>
          <w:tcPr>
            <w:tcW w:w="960" w:type="dxa"/>
            <w:tcBorders>
              <w:top w:val="nil"/>
              <w:left w:val="nil"/>
              <w:bottom w:val="single" w:sz="4" w:space="0" w:color="auto"/>
              <w:right w:val="single" w:sz="4" w:space="0" w:color="auto"/>
            </w:tcBorders>
            <w:noWrap/>
            <w:vAlign w:val="bottom"/>
            <w:hideMark/>
          </w:tcPr>
          <w:p w14:paraId="7C4EAF5D"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35,5%</w:t>
            </w:r>
          </w:p>
        </w:tc>
        <w:tc>
          <w:tcPr>
            <w:tcW w:w="724" w:type="dxa"/>
            <w:tcBorders>
              <w:top w:val="nil"/>
              <w:left w:val="nil"/>
              <w:bottom w:val="single" w:sz="4" w:space="0" w:color="auto"/>
              <w:right w:val="single" w:sz="4" w:space="0" w:color="auto"/>
            </w:tcBorders>
            <w:noWrap/>
            <w:vAlign w:val="bottom"/>
            <w:hideMark/>
          </w:tcPr>
          <w:p w14:paraId="71AA893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637DD2FE"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64074342"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5AC2707" w14:textId="77777777"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Jump cut</w:t>
            </w:r>
          </w:p>
        </w:tc>
        <w:tc>
          <w:tcPr>
            <w:tcW w:w="776" w:type="dxa"/>
            <w:tcBorders>
              <w:top w:val="nil"/>
              <w:left w:val="nil"/>
              <w:bottom w:val="single" w:sz="4" w:space="0" w:color="auto"/>
              <w:right w:val="single" w:sz="4" w:space="0" w:color="auto"/>
            </w:tcBorders>
            <w:noWrap/>
            <w:vAlign w:val="bottom"/>
            <w:hideMark/>
          </w:tcPr>
          <w:p w14:paraId="3861E82C"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62,7%</w:t>
            </w:r>
          </w:p>
        </w:tc>
        <w:tc>
          <w:tcPr>
            <w:tcW w:w="960" w:type="dxa"/>
            <w:tcBorders>
              <w:top w:val="nil"/>
              <w:left w:val="nil"/>
              <w:bottom w:val="single" w:sz="4" w:space="0" w:color="auto"/>
              <w:right w:val="single" w:sz="4" w:space="0" w:color="auto"/>
            </w:tcBorders>
            <w:noWrap/>
            <w:vAlign w:val="bottom"/>
            <w:hideMark/>
          </w:tcPr>
          <w:p w14:paraId="1F14B568"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37,3%</w:t>
            </w:r>
          </w:p>
        </w:tc>
        <w:tc>
          <w:tcPr>
            <w:tcW w:w="724" w:type="dxa"/>
            <w:tcBorders>
              <w:top w:val="nil"/>
              <w:left w:val="nil"/>
              <w:bottom w:val="single" w:sz="4" w:space="0" w:color="auto"/>
              <w:right w:val="single" w:sz="4" w:space="0" w:color="auto"/>
            </w:tcBorders>
            <w:noWrap/>
            <w:vAlign w:val="bottom"/>
            <w:hideMark/>
          </w:tcPr>
          <w:p w14:paraId="78800CF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1834DA46"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6D1438E8"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3BD805EE" w14:textId="77777777"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Space jump</w:t>
            </w:r>
          </w:p>
        </w:tc>
        <w:tc>
          <w:tcPr>
            <w:tcW w:w="776" w:type="dxa"/>
            <w:tcBorders>
              <w:top w:val="nil"/>
              <w:left w:val="nil"/>
              <w:bottom w:val="single" w:sz="4" w:space="0" w:color="auto"/>
              <w:right w:val="single" w:sz="4" w:space="0" w:color="auto"/>
            </w:tcBorders>
            <w:noWrap/>
            <w:vAlign w:val="bottom"/>
            <w:hideMark/>
          </w:tcPr>
          <w:p w14:paraId="696859CB"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3,9%</w:t>
            </w:r>
          </w:p>
        </w:tc>
        <w:tc>
          <w:tcPr>
            <w:tcW w:w="960" w:type="dxa"/>
            <w:tcBorders>
              <w:top w:val="nil"/>
              <w:left w:val="nil"/>
              <w:bottom w:val="single" w:sz="4" w:space="0" w:color="auto"/>
              <w:right w:val="single" w:sz="4" w:space="0" w:color="auto"/>
            </w:tcBorders>
            <w:noWrap/>
            <w:vAlign w:val="bottom"/>
            <w:hideMark/>
          </w:tcPr>
          <w:p w14:paraId="6349B4E2"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96,1%</w:t>
            </w:r>
          </w:p>
        </w:tc>
        <w:tc>
          <w:tcPr>
            <w:tcW w:w="724" w:type="dxa"/>
            <w:tcBorders>
              <w:top w:val="nil"/>
              <w:left w:val="nil"/>
              <w:bottom w:val="single" w:sz="4" w:space="0" w:color="auto"/>
              <w:right w:val="single" w:sz="4" w:space="0" w:color="auto"/>
            </w:tcBorders>
            <w:noWrap/>
            <w:vAlign w:val="bottom"/>
            <w:hideMark/>
          </w:tcPr>
          <w:p w14:paraId="1DAD30C6"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49489FCC"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EA667B4"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10E527AE" w14:textId="1FCC3DE2"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Cross-cutting</w:t>
            </w:r>
          </w:p>
        </w:tc>
        <w:tc>
          <w:tcPr>
            <w:tcW w:w="776" w:type="dxa"/>
            <w:tcBorders>
              <w:top w:val="nil"/>
              <w:left w:val="nil"/>
              <w:bottom w:val="single" w:sz="4" w:space="0" w:color="auto"/>
              <w:right w:val="single" w:sz="4" w:space="0" w:color="auto"/>
            </w:tcBorders>
            <w:noWrap/>
            <w:vAlign w:val="bottom"/>
            <w:hideMark/>
          </w:tcPr>
          <w:p w14:paraId="422FF608"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28,3%</w:t>
            </w:r>
          </w:p>
        </w:tc>
        <w:tc>
          <w:tcPr>
            <w:tcW w:w="960" w:type="dxa"/>
            <w:tcBorders>
              <w:top w:val="nil"/>
              <w:left w:val="nil"/>
              <w:bottom w:val="single" w:sz="4" w:space="0" w:color="auto"/>
              <w:right w:val="single" w:sz="4" w:space="0" w:color="auto"/>
            </w:tcBorders>
            <w:noWrap/>
            <w:vAlign w:val="bottom"/>
            <w:hideMark/>
          </w:tcPr>
          <w:p w14:paraId="44FE771C"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71,7%</w:t>
            </w:r>
          </w:p>
        </w:tc>
        <w:tc>
          <w:tcPr>
            <w:tcW w:w="724" w:type="dxa"/>
            <w:tcBorders>
              <w:top w:val="nil"/>
              <w:left w:val="nil"/>
              <w:bottom w:val="single" w:sz="4" w:space="0" w:color="auto"/>
              <w:right w:val="single" w:sz="4" w:space="0" w:color="auto"/>
            </w:tcBorders>
            <w:noWrap/>
            <w:vAlign w:val="bottom"/>
            <w:hideMark/>
          </w:tcPr>
          <w:p w14:paraId="712C3DB8"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2DA4F34F" w14:textId="77777777" w:rsidTr="007B5CBE">
        <w:trPr>
          <w:trHeight w:val="260"/>
          <w:jc w:val="center"/>
        </w:trPr>
        <w:tc>
          <w:tcPr>
            <w:tcW w:w="2020" w:type="dxa"/>
            <w:vMerge w:val="restart"/>
            <w:tcBorders>
              <w:top w:val="nil"/>
              <w:left w:val="single" w:sz="4" w:space="0" w:color="auto"/>
              <w:bottom w:val="single" w:sz="4" w:space="0" w:color="auto"/>
              <w:right w:val="single" w:sz="4" w:space="0" w:color="auto"/>
            </w:tcBorders>
            <w:noWrap/>
            <w:vAlign w:val="center"/>
            <w:hideMark/>
          </w:tcPr>
          <w:p w14:paraId="4FE35C07" w14:textId="21FBF468" w:rsidR="00BC51E3" w:rsidRPr="00321374" w:rsidRDefault="007B5CBE"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Type of experimentation</w:t>
            </w:r>
          </w:p>
        </w:tc>
        <w:tc>
          <w:tcPr>
            <w:tcW w:w="2280" w:type="dxa"/>
            <w:tcBorders>
              <w:top w:val="nil"/>
              <w:left w:val="nil"/>
              <w:bottom w:val="single" w:sz="4" w:space="0" w:color="auto"/>
              <w:right w:val="single" w:sz="4" w:space="0" w:color="auto"/>
            </w:tcBorders>
            <w:noWrap/>
            <w:vAlign w:val="bottom"/>
            <w:hideMark/>
          </w:tcPr>
          <w:p w14:paraId="604E6018" w14:textId="67F9A540"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N</w:t>
            </w:r>
            <w:r w:rsidR="007B5CBE" w:rsidRPr="00321374">
              <w:rPr>
                <w:rFonts w:eastAsia="Times New Roman" w:cs="Calibri"/>
                <w:color w:val="000000"/>
                <w:sz w:val="20"/>
                <w:szCs w:val="20"/>
                <w:lang w:val="en-US"/>
              </w:rPr>
              <w:t>one</w:t>
            </w:r>
          </w:p>
        </w:tc>
        <w:tc>
          <w:tcPr>
            <w:tcW w:w="776" w:type="dxa"/>
            <w:tcBorders>
              <w:top w:val="nil"/>
              <w:left w:val="nil"/>
              <w:bottom w:val="single" w:sz="4" w:space="0" w:color="auto"/>
              <w:right w:val="single" w:sz="4" w:space="0" w:color="auto"/>
            </w:tcBorders>
            <w:noWrap/>
            <w:vAlign w:val="bottom"/>
            <w:hideMark/>
          </w:tcPr>
          <w:p w14:paraId="39C9539C"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47,6%</w:t>
            </w:r>
          </w:p>
        </w:tc>
        <w:tc>
          <w:tcPr>
            <w:tcW w:w="960" w:type="dxa"/>
            <w:tcBorders>
              <w:top w:val="nil"/>
              <w:left w:val="nil"/>
              <w:bottom w:val="single" w:sz="4" w:space="0" w:color="auto"/>
              <w:right w:val="single" w:sz="4" w:space="0" w:color="auto"/>
            </w:tcBorders>
            <w:noWrap/>
            <w:vAlign w:val="bottom"/>
            <w:hideMark/>
          </w:tcPr>
          <w:p w14:paraId="7B9947CF"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52,4%</w:t>
            </w:r>
          </w:p>
        </w:tc>
        <w:tc>
          <w:tcPr>
            <w:tcW w:w="724" w:type="dxa"/>
            <w:tcBorders>
              <w:top w:val="nil"/>
              <w:left w:val="nil"/>
              <w:bottom w:val="single" w:sz="4" w:space="0" w:color="auto"/>
              <w:right w:val="single" w:sz="4" w:space="0" w:color="auto"/>
            </w:tcBorders>
            <w:noWrap/>
            <w:vAlign w:val="bottom"/>
            <w:hideMark/>
          </w:tcPr>
          <w:p w14:paraId="4264BC9F"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2DF25B2F"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2C16E57B"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56E79FA" w14:textId="069390BE"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Points of view</w:t>
            </w:r>
          </w:p>
        </w:tc>
        <w:tc>
          <w:tcPr>
            <w:tcW w:w="776" w:type="dxa"/>
            <w:tcBorders>
              <w:top w:val="nil"/>
              <w:left w:val="nil"/>
              <w:bottom w:val="single" w:sz="4" w:space="0" w:color="auto"/>
              <w:right w:val="single" w:sz="4" w:space="0" w:color="auto"/>
            </w:tcBorders>
            <w:noWrap/>
            <w:vAlign w:val="bottom"/>
            <w:hideMark/>
          </w:tcPr>
          <w:p w14:paraId="7A4A1A93"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22,4%</w:t>
            </w:r>
          </w:p>
        </w:tc>
        <w:tc>
          <w:tcPr>
            <w:tcW w:w="960" w:type="dxa"/>
            <w:tcBorders>
              <w:top w:val="nil"/>
              <w:left w:val="nil"/>
              <w:bottom w:val="single" w:sz="4" w:space="0" w:color="auto"/>
              <w:right w:val="single" w:sz="4" w:space="0" w:color="auto"/>
            </w:tcBorders>
            <w:noWrap/>
            <w:vAlign w:val="bottom"/>
            <w:hideMark/>
          </w:tcPr>
          <w:p w14:paraId="07EA606F"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77,6%</w:t>
            </w:r>
          </w:p>
        </w:tc>
        <w:tc>
          <w:tcPr>
            <w:tcW w:w="724" w:type="dxa"/>
            <w:tcBorders>
              <w:top w:val="nil"/>
              <w:left w:val="nil"/>
              <w:bottom w:val="single" w:sz="4" w:space="0" w:color="auto"/>
              <w:right w:val="single" w:sz="4" w:space="0" w:color="auto"/>
            </w:tcBorders>
            <w:noWrap/>
            <w:vAlign w:val="bottom"/>
            <w:hideMark/>
          </w:tcPr>
          <w:p w14:paraId="45822C82"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1C2117C3"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45A0D963"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46C09776" w14:textId="72A5C9E6"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Temporal manipulation</w:t>
            </w:r>
          </w:p>
        </w:tc>
        <w:tc>
          <w:tcPr>
            <w:tcW w:w="776" w:type="dxa"/>
            <w:tcBorders>
              <w:top w:val="nil"/>
              <w:left w:val="nil"/>
              <w:bottom w:val="single" w:sz="4" w:space="0" w:color="auto"/>
              <w:right w:val="single" w:sz="4" w:space="0" w:color="auto"/>
            </w:tcBorders>
            <w:noWrap/>
            <w:vAlign w:val="bottom"/>
            <w:hideMark/>
          </w:tcPr>
          <w:p w14:paraId="657F644E"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54,1%</w:t>
            </w:r>
          </w:p>
        </w:tc>
        <w:tc>
          <w:tcPr>
            <w:tcW w:w="960" w:type="dxa"/>
            <w:tcBorders>
              <w:top w:val="nil"/>
              <w:left w:val="nil"/>
              <w:bottom w:val="single" w:sz="4" w:space="0" w:color="auto"/>
              <w:right w:val="single" w:sz="4" w:space="0" w:color="auto"/>
            </w:tcBorders>
            <w:noWrap/>
            <w:vAlign w:val="bottom"/>
            <w:hideMark/>
          </w:tcPr>
          <w:p w14:paraId="6337E76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45,9%</w:t>
            </w:r>
          </w:p>
        </w:tc>
        <w:tc>
          <w:tcPr>
            <w:tcW w:w="724" w:type="dxa"/>
            <w:tcBorders>
              <w:top w:val="nil"/>
              <w:left w:val="nil"/>
              <w:bottom w:val="single" w:sz="4" w:space="0" w:color="auto"/>
              <w:right w:val="single" w:sz="4" w:space="0" w:color="auto"/>
            </w:tcBorders>
            <w:noWrap/>
            <w:vAlign w:val="bottom"/>
            <w:hideMark/>
          </w:tcPr>
          <w:p w14:paraId="72B4C61C"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5CEADFDB"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C99436B"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5EBC46D2" w14:textId="7FAC0DE5"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Spatial manipulation</w:t>
            </w:r>
          </w:p>
        </w:tc>
        <w:tc>
          <w:tcPr>
            <w:tcW w:w="776" w:type="dxa"/>
            <w:tcBorders>
              <w:top w:val="nil"/>
              <w:left w:val="nil"/>
              <w:bottom w:val="single" w:sz="4" w:space="0" w:color="auto"/>
              <w:right w:val="single" w:sz="4" w:space="0" w:color="auto"/>
            </w:tcBorders>
            <w:noWrap/>
            <w:vAlign w:val="bottom"/>
            <w:hideMark/>
          </w:tcPr>
          <w:p w14:paraId="77F5D627"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13,6%</w:t>
            </w:r>
          </w:p>
        </w:tc>
        <w:tc>
          <w:tcPr>
            <w:tcW w:w="960" w:type="dxa"/>
            <w:tcBorders>
              <w:top w:val="nil"/>
              <w:left w:val="nil"/>
              <w:bottom w:val="single" w:sz="4" w:space="0" w:color="auto"/>
              <w:right w:val="single" w:sz="4" w:space="0" w:color="auto"/>
            </w:tcBorders>
            <w:noWrap/>
            <w:vAlign w:val="bottom"/>
            <w:hideMark/>
          </w:tcPr>
          <w:p w14:paraId="2D259DA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86,4%</w:t>
            </w:r>
          </w:p>
        </w:tc>
        <w:tc>
          <w:tcPr>
            <w:tcW w:w="724" w:type="dxa"/>
            <w:tcBorders>
              <w:top w:val="nil"/>
              <w:left w:val="nil"/>
              <w:bottom w:val="single" w:sz="4" w:space="0" w:color="auto"/>
              <w:right w:val="single" w:sz="4" w:space="0" w:color="auto"/>
            </w:tcBorders>
            <w:noWrap/>
            <w:vAlign w:val="bottom"/>
            <w:hideMark/>
          </w:tcPr>
          <w:p w14:paraId="171D5FA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103AACE3"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99AC720"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1D5E60E" w14:textId="624FFEF2"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Image manipulation</w:t>
            </w:r>
          </w:p>
        </w:tc>
        <w:tc>
          <w:tcPr>
            <w:tcW w:w="776" w:type="dxa"/>
            <w:tcBorders>
              <w:top w:val="nil"/>
              <w:left w:val="nil"/>
              <w:bottom w:val="single" w:sz="4" w:space="0" w:color="auto"/>
              <w:right w:val="single" w:sz="4" w:space="0" w:color="auto"/>
            </w:tcBorders>
            <w:noWrap/>
            <w:vAlign w:val="bottom"/>
            <w:hideMark/>
          </w:tcPr>
          <w:p w14:paraId="05E748E2"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15,1%</w:t>
            </w:r>
          </w:p>
        </w:tc>
        <w:tc>
          <w:tcPr>
            <w:tcW w:w="960" w:type="dxa"/>
            <w:tcBorders>
              <w:top w:val="nil"/>
              <w:left w:val="nil"/>
              <w:bottom w:val="single" w:sz="4" w:space="0" w:color="auto"/>
              <w:right w:val="single" w:sz="4" w:space="0" w:color="auto"/>
            </w:tcBorders>
            <w:noWrap/>
            <w:vAlign w:val="bottom"/>
            <w:hideMark/>
          </w:tcPr>
          <w:p w14:paraId="14E3B683"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84,9%</w:t>
            </w:r>
          </w:p>
        </w:tc>
        <w:tc>
          <w:tcPr>
            <w:tcW w:w="724" w:type="dxa"/>
            <w:tcBorders>
              <w:top w:val="nil"/>
              <w:left w:val="nil"/>
              <w:bottom w:val="single" w:sz="4" w:space="0" w:color="auto"/>
              <w:right w:val="single" w:sz="4" w:space="0" w:color="auto"/>
            </w:tcBorders>
            <w:noWrap/>
            <w:vAlign w:val="bottom"/>
            <w:hideMark/>
          </w:tcPr>
          <w:p w14:paraId="7EDD70BB"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3D6AB00B"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6072E66"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4C8BBFCB" w14:textId="6DAC478E"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Body manipulation</w:t>
            </w:r>
          </w:p>
        </w:tc>
        <w:tc>
          <w:tcPr>
            <w:tcW w:w="776" w:type="dxa"/>
            <w:tcBorders>
              <w:top w:val="nil"/>
              <w:left w:val="nil"/>
              <w:bottom w:val="single" w:sz="4" w:space="0" w:color="auto"/>
              <w:right w:val="single" w:sz="4" w:space="0" w:color="auto"/>
            </w:tcBorders>
            <w:noWrap/>
            <w:vAlign w:val="bottom"/>
            <w:hideMark/>
          </w:tcPr>
          <w:p w14:paraId="2849A630"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18,4%</w:t>
            </w:r>
          </w:p>
        </w:tc>
        <w:tc>
          <w:tcPr>
            <w:tcW w:w="960" w:type="dxa"/>
            <w:tcBorders>
              <w:top w:val="nil"/>
              <w:left w:val="nil"/>
              <w:bottom w:val="single" w:sz="4" w:space="0" w:color="auto"/>
              <w:right w:val="single" w:sz="4" w:space="0" w:color="auto"/>
            </w:tcBorders>
            <w:noWrap/>
            <w:vAlign w:val="bottom"/>
            <w:hideMark/>
          </w:tcPr>
          <w:p w14:paraId="2C79584E"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81,6%</w:t>
            </w:r>
          </w:p>
        </w:tc>
        <w:tc>
          <w:tcPr>
            <w:tcW w:w="724" w:type="dxa"/>
            <w:tcBorders>
              <w:top w:val="nil"/>
              <w:left w:val="nil"/>
              <w:bottom w:val="single" w:sz="4" w:space="0" w:color="auto"/>
              <w:right w:val="single" w:sz="4" w:space="0" w:color="auto"/>
            </w:tcBorders>
            <w:noWrap/>
            <w:vAlign w:val="bottom"/>
            <w:hideMark/>
          </w:tcPr>
          <w:p w14:paraId="463D6C25"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2FA726B5" w14:textId="77777777" w:rsidTr="007B5CBE">
        <w:trPr>
          <w:trHeight w:val="260"/>
          <w:jc w:val="center"/>
        </w:trPr>
        <w:tc>
          <w:tcPr>
            <w:tcW w:w="2020" w:type="dxa"/>
            <w:vMerge w:val="restart"/>
            <w:tcBorders>
              <w:top w:val="nil"/>
              <w:left w:val="single" w:sz="4" w:space="0" w:color="auto"/>
              <w:bottom w:val="single" w:sz="4" w:space="0" w:color="auto"/>
              <w:right w:val="single" w:sz="4" w:space="0" w:color="auto"/>
            </w:tcBorders>
            <w:noWrap/>
            <w:vAlign w:val="center"/>
            <w:hideMark/>
          </w:tcPr>
          <w:p w14:paraId="40F05F5A" w14:textId="15701EF3" w:rsidR="00BC51E3" w:rsidRPr="00321374" w:rsidRDefault="007B5CBE"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Type of movement</w:t>
            </w:r>
          </w:p>
        </w:tc>
        <w:tc>
          <w:tcPr>
            <w:tcW w:w="2280" w:type="dxa"/>
            <w:tcBorders>
              <w:top w:val="nil"/>
              <w:left w:val="nil"/>
              <w:bottom w:val="single" w:sz="4" w:space="0" w:color="auto"/>
              <w:right w:val="single" w:sz="4" w:space="0" w:color="auto"/>
            </w:tcBorders>
            <w:noWrap/>
            <w:vAlign w:val="bottom"/>
            <w:hideMark/>
          </w:tcPr>
          <w:p w14:paraId="6086D2DD" w14:textId="3AF7492B"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Body</w:t>
            </w:r>
          </w:p>
        </w:tc>
        <w:tc>
          <w:tcPr>
            <w:tcW w:w="776" w:type="dxa"/>
            <w:tcBorders>
              <w:top w:val="nil"/>
              <w:left w:val="nil"/>
              <w:bottom w:val="single" w:sz="4" w:space="0" w:color="auto"/>
              <w:right w:val="single" w:sz="4" w:space="0" w:color="auto"/>
            </w:tcBorders>
            <w:noWrap/>
            <w:vAlign w:val="bottom"/>
            <w:hideMark/>
          </w:tcPr>
          <w:p w14:paraId="2F5459F4"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91,4%</w:t>
            </w:r>
          </w:p>
        </w:tc>
        <w:tc>
          <w:tcPr>
            <w:tcW w:w="960" w:type="dxa"/>
            <w:tcBorders>
              <w:top w:val="nil"/>
              <w:left w:val="nil"/>
              <w:bottom w:val="single" w:sz="4" w:space="0" w:color="auto"/>
              <w:right w:val="single" w:sz="4" w:space="0" w:color="auto"/>
            </w:tcBorders>
            <w:noWrap/>
            <w:vAlign w:val="bottom"/>
            <w:hideMark/>
          </w:tcPr>
          <w:p w14:paraId="520BAE2C"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8,6%</w:t>
            </w:r>
          </w:p>
        </w:tc>
        <w:tc>
          <w:tcPr>
            <w:tcW w:w="724" w:type="dxa"/>
            <w:tcBorders>
              <w:top w:val="nil"/>
              <w:left w:val="nil"/>
              <w:bottom w:val="single" w:sz="4" w:space="0" w:color="auto"/>
              <w:right w:val="single" w:sz="4" w:space="0" w:color="auto"/>
            </w:tcBorders>
            <w:noWrap/>
            <w:vAlign w:val="bottom"/>
            <w:hideMark/>
          </w:tcPr>
          <w:p w14:paraId="2525A13B"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6BF35D38"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A84B22A"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FB3C8E2" w14:textId="0652C861"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C</w:t>
            </w:r>
            <w:r w:rsidR="007B5CBE" w:rsidRPr="00321374">
              <w:rPr>
                <w:rFonts w:eastAsia="Times New Roman" w:cs="Calibri"/>
                <w:color w:val="000000"/>
                <w:sz w:val="20"/>
                <w:szCs w:val="20"/>
                <w:lang w:val="en-US"/>
              </w:rPr>
              <w:t>a</w:t>
            </w:r>
            <w:r w:rsidRPr="00321374">
              <w:rPr>
                <w:rFonts w:eastAsia="Times New Roman" w:cs="Calibri"/>
                <w:color w:val="000000"/>
                <w:sz w:val="20"/>
                <w:szCs w:val="20"/>
                <w:lang w:val="en-US"/>
              </w:rPr>
              <w:t>m</w:t>
            </w:r>
            <w:r w:rsidR="007B5CBE" w:rsidRPr="00321374">
              <w:rPr>
                <w:rFonts w:eastAsia="Times New Roman" w:cs="Calibri"/>
                <w:color w:val="000000"/>
                <w:sz w:val="20"/>
                <w:szCs w:val="20"/>
                <w:lang w:val="en-US"/>
              </w:rPr>
              <w:t>e</w:t>
            </w:r>
            <w:r w:rsidRPr="00321374">
              <w:rPr>
                <w:rFonts w:eastAsia="Times New Roman" w:cs="Calibri"/>
                <w:color w:val="000000"/>
                <w:sz w:val="20"/>
                <w:szCs w:val="20"/>
                <w:lang w:val="en-US"/>
              </w:rPr>
              <w:t>ra</w:t>
            </w:r>
          </w:p>
        </w:tc>
        <w:tc>
          <w:tcPr>
            <w:tcW w:w="776" w:type="dxa"/>
            <w:tcBorders>
              <w:top w:val="nil"/>
              <w:left w:val="nil"/>
              <w:bottom w:val="single" w:sz="4" w:space="0" w:color="auto"/>
              <w:right w:val="single" w:sz="4" w:space="0" w:color="auto"/>
            </w:tcBorders>
            <w:noWrap/>
            <w:vAlign w:val="bottom"/>
            <w:hideMark/>
          </w:tcPr>
          <w:p w14:paraId="7F2E2E7C"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17,5%</w:t>
            </w:r>
          </w:p>
        </w:tc>
        <w:tc>
          <w:tcPr>
            <w:tcW w:w="960" w:type="dxa"/>
            <w:tcBorders>
              <w:top w:val="nil"/>
              <w:left w:val="nil"/>
              <w:bottom w:val="single" w:sz="4" w:space="0" w:color="auto"/>
              <w:right w:val="single" w:sz="4" w:space="0" w:color="auto"/>
            </w:tcBorders>
            <w:noWrap/>
            <w:vAlign w:val="bottom"/>
            <w:hideMark/>
          </w:tcPr>
          <w:p w14:paraId="29BA479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82,5%</w:t>
            </w:r>
          </w:p>
        </w:tc>
        <w:tc>
          <w:tcPr>
            <w:tcW w:w="724" w:type="dxa"/>
            <w:tcBorders>
              <w:top w:val="nil"/>
              <w:left w:val="nil"/>
              <w:bottom w:val="single" w:sz="4" w:space="0" w:color="auto"/>
              <w:right w:val="single" w:sz="4" w:space="0" w:color="auto"/>
            </w:tcBorders>
            <w:noWrap/>
            <w:vAlign w:val="bottom"/>
            <w:hideMark/>
          </w:tcPr>
          <w:p w14:paraId="6A58CE68"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297D06E4"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724C2DB1"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6F81E558" w14:textId="100E7AA6"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Editing</w:t>
            </w:r>
          </w:p>
        </w:tc>
        <w:tc>
          <w:tcPr>
            <w:tcW w:w="776" w:type="dxa"/>
            <w:tcBorders>
              <w:top w:val="nil"/>
              <w:left w:val="nil"/>
              <w:bottom w:val="single" w:sz="4" w:space="0" w:color="auto"/>
              <w:right w:val="single" w:sz="4" w:space="0" w:color="auto"/>
            </w:tcBorders>
            <w:noWrap/>
            <w:vAlign w:val="bottom"/>
            <w:hideMark/>
          </w:tcPr>
          <w:p w14:paraId="65485F85"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9,2%</w:t>
            </w:r>
          </w:p>
        </w:tc>
        <w:tc>
          <w:tcPr>
            <w:tcW w:w="960" w:type="dxa"/>
            <w:tcBorders>
              <w:top w:val="nil"/>
              <w:left w:val="nil"/>
              <w:bottom w:val="single" w:sz="4" w:space="0" w:color="auto"/>
              <w:right w:val="single" w:sz="4" w:space="0" w:color="auto"/>
            </w:tcBorders>
            <w:noWrap/>
            <w:vAlign w:val="bottom"/>
            <w:hideMark/>
          </w:tcPr>
          <w:p w14:paraId="24856994"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90,8%</w:t>
            </w:r>
          </w:p>
        </w:tc>
        <w:tc>
          <w:tcPr>
            <w:tcW w:w="724" w:type="dxa"/>
            <w:tcBorders>
              <w:top w:val="nil"/>
              <w:left w:val="nil"/>
              <w:bottom w:val="single" w:sz="4" w:space="0" w:color="auto"/>
              <w:right w:val="single" w:sz="4" w:space="0" w:color="auto"/>
            </w:tcBorders>
            <w:noWrap/>
            <w:vAlign w:val="bottom"/>
            <w:hideMark/>
          </w:tcPr>
          <w:p w14:paraId="2D301AB3"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79853A7F"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C7E25B5"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4E79522A" w14:textId="100282EA"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Ef</w:t>
            </w:r>
            <w:r w:rsidR="007B5CBE" w:rsidRPr="00321374">
              <w:rPr>
                <w:rFonts w:eastAsia="Times New Roman" w:cs="Calibri"/>
                <w:color w:val="000000"/>
                <w:sz w:val="20"/>
                <w:szCs w:val="20"/>
                <w:lang w:val="en-US"/>
              </w:rPr>
              <w:t>fects</w:t>
            </w:r>
          </w:p>
        </w:tc>
        <w:tc>
          <w:tcPr>
            <w:tcW w:w="776" w:type="dxa"/>
            <w:tcBorders>
              <w:top w:val="nil"/>
              <w:left w:val="nil"/>
              <w:bottom w:val="single" w:sz="4" w:space="0" w:color="auto"/>
              <w:right w:val="single" w:sz="4" w:space="0" w:color="auto"/>
            </w:tcBorders>
            <w:noWrap/>
            <w:vAlign w:val="bottom"/>
            <w:hideMark/>
          </w:tcPr>
          <w:p w14:paraId="1F52050E"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13,6%</w:t>
            </w:r>
          </w:p>
        </w:tc>
        <w:tc>
          <w:tcPr>
            <w:tcW w:w="960" w:type="dxa"/>
            <w:tcBorders>
              <w:top w:val="nil"/>
              <w:left w:val="nil"/>
              <w:bottom w:val="single" w:sz="4" w:space="0" w:color="auto"/>
              <w:right w:val="single" w:sz="4" w:space="0" w:color="auto"/>
            </w:tcBorders>
            <w:noWrap/>
            <w:vAlign w:val="bottom"/>
            <w:hideMark/>
          </w:tcPr>
          <w:p w14:paraId="28989DDD"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86,4%</w:t>
            </w:r>
          </w:p>
        </w:tc>
        <w:tc>
          <w:tcPr>
            <w:tcW w:w="724" w:type="dxa"/>
            <w:tcBorders>
              <w:top w:val="nil"/>
              <w:left w:val="nil"/>
              <w:bottom w:val="single" w:sz="4" w:space="0" w:color="auto"/>
              <w:right w:val="single" w:sz="4" w:space="0" w:color="auto"/>
            </w:tcBorders>
            <w:noWrap/>
            <w:vAlign w:val="bottom"/>
            <w:hideMark/>
          </w:tcPr>
          <w:p w14:paraId="01ECEE79"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4CFE10D4" w14:textId="77777777" w:rsidTr="007B5CBE">
        <w:trPr>
          <w:trHeight w:val="260"/>
          <w:jc w:val="center"/>
        </w:trPr>
        <w:tc>
          <w:tcPr>
            <w:tcW w:w="2020" w:type="dxa"/>
            <w:vMerge w:val="restart"/>
            <w:tcBorders>
              <w:top w:val="nil"/>
              <w:left w:val="single" w:sz="4" w:space="0" w:color="auto"/>
              <w:bottom w:val="single" w:sz="4" w:space="0" w:color="auto"/>
              <w:right w:val="single" w:sz="4" w:space="0" w:color="auto"/>
            </w:tcBorders>
            <w:noWrap/>
            <w:vAlign w:val="center"/>
            <w:hideMark/>
          </w:tcPr>
          <w:p w14:paraId="0722103B" w14:textId="577FFEE0" w:rsidR="00BC51E3" w:rsidRPr="00321374" w:rsidRDefault="007B5CBE"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Type of choreography</w:t>
            </w:r>
          </w:p>
        </w:tc>
        <w:tc>
          <w:tcPr>
            <w:tcW w:w="2280" w:type="dxa"/>
            <w:tcBorders>
              <w:top w:val="nil"/>
              <w:left w:val="nil"/>
              <w:bottom w:val="single" w:sz="4" w:space="0" w:color="auto"/>
              <w:right w:val="single" w:sz="4" w:space="0" w:color="auto"/>
            </w:tcBorders>
            <w:noWrap/>
            <w:vAlign w:val="bottom"/>
            <w:hideMark/>
          </w:tcPr>
          <w:p w14:paraId="40D555D1" w14:textId="31DCBCFF"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Tradi</w:t>
            </w:r>
            <w:r w:rsidR="007B5CBE" w:rsidRPr="00321374">
              <w:rPr>
                <w:rFonts w:eastAsia="Times New Roman" w:cs="Calibri"/>
                <w:color w:val="000000"/>
                <w:sz w:val="20"/>
                <w:szCs w:val="20"/>
                <w:lang w:val="en-US"/>
              </w:rPr>
              <w:t>t</w:t>
            </w:r>
            <w:r w:rsidRPr="00321374">
              <w:rPr>
                <w:rFonts w:eastAsia="Times New Roman" w:cs="Calibri"/>
                <w:color w:val="000000"/>
                <w:sz w:val="20"/>
                <w:szCs w:val="20"/>
                <w:lang w:val="en-US"/>
              </w:rPr>
              <w:t>ional</w:t>
            </w:r>
          </w:p>
        </w:tc>
        <w:tc>
          <w:tcPr>
            <w:tcW w:w="776" w:type="dxa"/>
            <w:tcBorders>
              <w:top w:val="nil"/>
              <w:left w:val="nil"/>
              <w:bottom w:val="single" w:sz="4" w:space="0" w:color="auto"/>
              <w:right w:val="single" w:sz="4" w:space="0" w:color="auto"/>
            </w:tcBorders>
            <w:noWrap/>
            <w:vAlign w:val="bottom"/>
            <w:hideMark/>
          </w:tcPr>
          <w:p w14:paraId="5349F71C"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80,2%</w:t>
            </w:r>
          </w:p>
        </w:tc>
        <w:tc>
          <w:tcPr>
            <w:tcW w:w="960" w:type="dxa"/>
            <w:tcBorders>
              <w:top w:val="nil"/>
              <w:left w:val="nil"/>
              <w:bottom w:val="single" w:sz="4" w:space="0" w:color="auto"/>
              <w:right w:val="single" w:sz="4" w:space="0" w:color="auto"/>
            </w:tcBorders>
            <w:noWrap/>
            <w:vAlign w:val="bottom"/>
            <w:hideMark/>
          </w:tcPr>
          <w:p w14:paraId="5799D240"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19,8%</w:t>
            </w:r>
          </w:p>
        </w:tc>
        <w:tc>
          <w:tcPr>
            <w:tcW w:w="724" w:type="dxa"/>
            <w:tcBorders>
              <w:top w:val="nil"/>
              <w:left w:val="nil"/>
              <w:bottom w:val="single" w:sz="4" w:space="0" w:color="auto"/>
              <w:right w:val="single" w:sz="4" w:space="0" w:color="auto"/>
            </w:tcBorders>
            <w:noWrap/>
            <w:vAlign w:val="bottom"/>
            <w:hideMark/>
          </w:tcPr>
          <w:p w14:paraId="4323BC5D"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19251AFD"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49D87513"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10102E80" w14:textId="199AB6C0"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In association with the camera</w:t>
            </w:r>
          </w:p>
        </w:tc>
        <w:tc>
          <w:tcPr>
            <w:tcW w:w="776" w:type="dxa"/>
            <w:tcBorders>
              <w:top w:val="nil"/>
              <w:left w:val="nil"/>
              <w:bottom w:val="single" w:sz="4" w:space="0" w:color="auto"/>
              <w:right w:val="single" w:sz="4" w:space="0" w:color="auto"/>
            </w:tcBorders>
            <w:noWrap/>
            <w:vAlign w:val="bottom"/>
            <w:hideMark/>
          </w:tcPr>
          <w:p w14:paraId="57D49ABF"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25,6%</w:t>
            </w:r>
          </w:p>
        </w:tc>
        <w:tc>
          <w:tcPr>
            <w:tcW w:w="960" w:type="dxa"/>
            <w:tcBorders>
              <w:top w:val="nil"/>
              <w:left w:val="nil"/>
              <w:bottom w:val="single" w:sz="4" w:space="0" w:color="auto"/>
              <w:right w:val="single" w:sz="4" w:space="0" w:color="auto"/>
            </w:tcBorders>
            <w:noWrap/>
            <w:vAlign w:val="bottom"/>
            <w:hideMark/>
          </w:tcPr>
          <w:p w14:paraId="12417EB6"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74,4%</w:t>
            </w:r>
          </w:p>
        </w:tc>
        <w:tc>
          <w:tcPr>
            <w:tcW w:w="724" w:type="dxa"/>
            <w:tcBorders>
              <w:top w:val="nil"/>
              <w:left w:val="nil"/>
              <w:bottom w:val="single" w:sz="4" w:space="0" w:color="auto"/>
              <w:right w:val="single" w:sz="4" w:space="0" w:color="auto"/>
            </w:tcBorders>
            <w:noWrap/>
            <w:vAlign w:val="bottom"/>
            <w:hideMark/>
          </w:tcPr>
          <w:p w14:paraId="75A6C01D"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6F91CA3D"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3F891887"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097ECADD" w14:textId="77777777" w:rsidR="00BC51E3" w:rsidRPr="00321374" w:rsidRDefault="00BC51E3"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Conceptual</w:t>
            </w:r>
          </w:p>
        </w:tc>
        <w:tc>
          <w:tcPr>
            <w:tcW w:w="776" w:type="dxa"/>
            <w:tcBorders>
              <w:top w:val="nil"/>
              <w:left w:val="nil"/>
              <w:bottom w:val="single" w:sz="4" w:space="0" w:color="auto"/>
              <w:right w:val="single" w:sz="4" w:space="0" w:color="auto"/>
            </w:tcBorders>
            <w:noWrap/>
            <w:vAlign w:val="bottom"/>
            <w:hideMark/>
          </w:tcPr>
          <w:p w14:paraId="60392F43" w14:textId="77777777" w:rsidR="00BC51E3" w:rsidRPr="00321374" w:rsidRDefault="00BC51E3" w:rsidP="00BC51E3">
            <w:pPr>
              <w:widowControl/>
              <w:jc w:val="center"/>
              <w:rPr>
                <w:rFonts w:eastAsia="Times New Roman" w:cs="Calibri"/>
                <w:b/>
                <w:bCs/>
                <w:color w:val="000000"/>
                <w:sz w:val="20"/>
                <w:szCs w:val="20"/>
                <w:lang w:val="en-US"/>
              </w:rPr>
            </w:pPr>
            <w:r w:rsidRPr="00321374">
              <w:rPr>
                <w:rFonts w:eastAsia="Times New Roman" w:cs="Calibri"/>
                <w:b/>
                <w:bCs/>
                <w:color w:val="000000"/>
                <w:sz w:val="20"/>
                <w:szCs w:val="20"/>
                <w:lang w:val="en-US"/>
              </w:rPr>
              <w:t>63,8%</w:t>
            </w:r>
          </w:p>
        </w:tc>
        <w:tc>
          <w:tcPr>
            <w:tcW w:w="960" w:type="dxa"/>
            <w:tcBorders>
              <w:top w:val="nil"/>
              <w:left w:val="nil"/>
              <w:bottom w:val="single" w:sz="4" w:space="0" w:color="auto"/>
              <w:right w:val="single" w:sz="4" w:space="0" w:color="auto"/>
            </w:tcBorders>
            <w:noWrap/>
            <w:vAlign w:val="bottom"/>
            <w:hideMark/>
          </w:tcPr>
          <w:p w14:paraId="0CD71946"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36,2%</w:t>
            </w:r>
          </w:p>
        </w:tc>
        <w:tc>
          <w:tcPr>
            <w:tcW w:w="724" w:type="dxa"/>
            <w:tcBorders>
              <w:top w:val="nil"/>
              <w:left w:val="nil"/>
              <w:bottom w:val="single" w:sz="4" w:space="0" w:color="auto"/>
              <w:right w:val="single" w:sz="4" w:space="0" w:color="auto"/>
            </w:tcBorders>
            <w:noWrap/>
            <w:vAlign w:val="bottom"/>
            <w:hideMark/>
          </w:tcPr>
          <w:p w14:paraId="32F1568A"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r w:rsidR="00BC51E3" w:rsidRPr="00321374" w14:paraId="36892D9B" w14:textId="77777777" w:rsidTr="007B5CBE">
        <w:trPr>
          <w:trHeight w:val="260"/>
          <w:jc w:val="center"/>
        </w:trPr>
        <w:tc>
          <w:tcPr>
            <w:tcW w:w="2020" w:type="dxa"/>
            <w:vMerge/>
            <w:tcBorders>
              <w:top w:val="nil"/>
              <w:left w:val="single" w:sz="4" w:space="0" w:color="auto"/>
              <w:bottom w:val="single" w:sz="4" w:space="0" w:color="auto"/>
              <w:right w:val="single" w:sz="4" w:space="0" w:color="auto"/>
            </w:tcBorders>
            <w:vAlign w:val="center"/>
            <w:hideMark/>
          </w:tcPr>
          <w:p w14:paraId="47088BC2" w14:textId="77777777" w:rsidR="00BC51E3" w:rsidRPr="00321374" w:rsidRDefault="00BC51E3" w:rsidP="00BC51E3">
            <w:pPr>
              <w:widowControl/>
              <w:rPr>
                <w:rFonts w:eastAsia="Times New Roman" w:cs="Calibri"/>
                <w:color w:val="000000"/>
                <w:sz w:val="20"/>
                <w:szCs w:val="20"/>
                <w:lang w:val="en-US"/>
              </w:rPr>
            </w:pPr>
          </w:p>
        </w:tc>
        <w:tc>
          <w:tcPr>
            <w:tcW w:w="2280" w:type="dxa"/>
            <w:tcBorders>
              <w:top w:val="nil"/>
              <w:left w:val="nil"/>
              <w:bottom w:val="single" w:sz="4" w:space="0" w:color="auto"/>
              <w:right w:val="single" w:sz="4" w:space="0" w:color="auto"/>
            </w:tcBorders>
            <w:noWrap/>
            <w:vAlign w:val="bottom"/>
            <w:hideMark/>
          </w:tcPr>
          <w:p w14:paraId="2DE66639" w14:textId="7E19DE64" w:rsidR="00BC51E3" w:rsidRPr="00321374" w:rsidRDefault="007B5CBE" w:rsidP="00BC51E3">
            <w:pPr>
              <w:widowControl/>
              <w:rPr>
                <w:rFonts w:eastAsia="Times New Roman" w:cs="Calibri"/>
                <w:color w:val="000000"/>
                <w:sz w:val="20"/>
                <w:szCs w:val="20"/>
                <w:lang w:val="en-US"/>
              </w:rPr>
            </w:pPr>
            <w:r w:rsidRPr="00321374">
              <w:rPr>
                <w:rFonts w:eastAsia="Times New Roman" w:cs="Calibri"/>
                <w:color w:val="000000"/>
                <w:sz w:val="20"/>
                <w:szCs w:val="20"/>
                <w:lang w:val="en-US"/>
              </w:rPr>
              <w:t>Through appropriated means</w:t>
            </w:r>
          </w:p>
        </w:tc>
        <w:tc>
          <w:tcPr>
            <w:tcW w:w="776" w:type="dxa"/>
            <w:tcBorders>
              <w:top w:val="nil"/>
              <w:left w:val="nil"/>
              <w:bottom w:val="single" w:sz="4" w:space="0" w:color="auto"/>
              <w:right w:val="single" w:sz="4" w:space="0" w:color="auto"/>
            </w:tcBorders>
            <w:noWrap/>
            <w:vAlign w:val="bottom"/>
            <w:hideMark/>
          </w:tcPr>
          <w:p w14:paraId="7AEC5CE3"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1,3%</w:t>
            </w:r>
          </w:p>
        </w:tc>
        <w:tc>
          <w:tcPr>
            <w:tcW w:w="960" w:type="dxa"/>
            <w:tcBorders>
              <w:top w:val="nil"/>
              <w:left w:val="nil"/>
              <w:bottom w:val="single" w:sz="4" w:space="0" w:color="auto"/>
              <w:right w:val="single" w:sz="4" w:space="0" w:color="auto"/>
            </w:tcBorders>
            <w:noWrap/>
            <w:vAlign w:val="bottom"/>
            <w:hideMark/>
          </w:tcPr>
          <w:p w14:paraId="58B47BE8"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98,7%</w:t>
            </w:r>
          </w:p>
        </w:tc>
        <w:tc>
          <w:tcPr>
            <w:tcW w:w="724" w:type="dxa"/>
            <w:tcBorders>
              <w:top w:val="nil"/>
              <w:left w:val="nil"/>
              <w:bottom w:val="single" w:sz="4" w:space="0" w:color="auto"/>
              <w:right w:val="single" w:sz="4" w:space="0" w:color="auto"/>
            </w:tcBorders>
            <w:noWrap/>
            <w:vAlign w:val="bottom"/>
            <w:hideMark/>
          </w:tcPr>
          <w:p w14:paraId="1F024E79" w14:textId="77777777" w:rsidR="00BC51E3" w:rsidRPr="00321374" w:rsidRDefault="00BC51E3" w:rsidP="00BC51E3">
            <w:pPr>
              <w:widowControl/>
              <w:jc w:val="center"/>
              <w:rPr>
                <w:rFonts w:eastAsia="Times New Roman" w:cs="Calibri"/>
                <w:color w:val="000000"/>
                <w:sz w:val="20"/>
                <w:szCs w:val="20"/>
                <w:lang w:val="en-US"/>
              </w:rPr>
            </w:pPr>
            <w:r w:rsidRPr="00321374">
              <w:rPr>
                <w:rFonts w:eastAsia="Times New Roman" w:cs="Calibri"/>
                <w:color w:val="000000"/>
                <w:sz w:val="20"/>
                <w:szCs w:val="20"/>
                <w:lang w:val="en-US"/>
              </w:rPr>
              <w:t>100,0%</w:t>
            </w:r>
          </w:p>
        </w:tc>
      </w:tr>
    </w:tbl>
    <w:p w14:paraId="47F254F6" w14:textId="32F65092" w:rsidR="00BC51E3" w:rsidRPr="00321374" w:rsidRDefault="007B5CBE" w:rsidP="00BC51E3">
      <w:pPr>
        <w:widowControl/>
        <w:pBdr>
          <w:top w:val="nil"/>
          <w:left w:val="nil"/>
          <w:bottom w:val="nil"/>
          <w:right w:val="nil"/>
          <w:between w:val="nil"/>
        </w:pBdr>
        <w:spacing w:after="80"/>
        <w:ind w:left="646" w:right="684"/>
        <w:jc w:val="center"/>
        <w:rPr>
          <w:color w:val="000000"/>
          <w:sz w:val="18"/>
          <w:szCs w:val="18"/>
          <w:lang w:val="en-US"/>
        </w:rPr>
      </w:pPr>
      <w:r w:rsidRPr="00321374">
        <w:rPr>
          <w:color w:val="231F20"/>
          <w:sz w:val="18"/>
          <w:szCs w:val="18"/>
          <w:lang w:val="en-US"/>
        </w:rPr>
        <w:t>Source: Authors’ own elaboration</w:t>
      </w:r>
    </w:p>
    <w:p w14:paraId="7FAFE844" w14:textId="77777777" w:rsidR="00BC51E3" w:rsidRPr="00321374" w:rsidRDefault="00BC51E3" w:rsidP="00045F95">
      <w:pPr>
        <w:widowControl/>
        <w:pBdr>
          <w:top w:val="nil"/>
          <w:left w:val="nil"/>
          <w:bottom w:val="nil"/>
          <w:right w:val="nil"/>
          <w:between w:val="nil"/>
        </w:pBdr>
        <w:spacing w:after="80"/>
        <w:ind w:left="426" w:right="370"/>
        <w:jc w:val="both"/>
        <w:rPr>
          <w:color w:val="231F20"/>
          <w:sz w:val="20"/>
          <w:szCs w:val="20"/>
          <w:lang w:val="en-US"/>
        </w:rPr>
      </w:pPr>
    </w:p>
    <w:p w14:paraId="00EF2582" w14:textId="772156A8" w:rsidR="00BC51E3" w:rsidRPr="00321374" w:rsidRDefault="007B5CBE"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Considering the close relationship between cinematic techniques and dance</w:t>
      </w:r>
      <w:r w:rsidR="00FA21F5" w:rsidRPr="00321374">
        <w:rPr>
          <w:color w:val="231F20"/>
          <w:sz w:val="20"/>
          <w:szCs w:val="20"/>
          <w:lang w:val="en-US"/>
        </w:rPr>
        <w:t xml:space="preserve">, </w:t>
      </w:r>
      <w:r w:rsidRPr="00321374">
        <w:rPr>
          <w:color w:val="231F20"/>
          <w:sz w:val="20"/>
          <w:szCs w:val="20"/>
          <w:lang w:val="en-US"/>
        </w:rPr>
        <w:t>where developments in how the dancing body is presented have progressed in tandem</w:t>
      </w:r>
      <w:r w:rsidR="00FA21F5" w:rsidRPr="00321374">
        <w:rPr>
          <w:color w:val="231F20"/>
          <w:sz w:val="20"/>
          <w:szCs w:val="20"/>
          <w:lang w:val="en-US"/>
        </w:rPr>
        <w:t xml:space="preserve">, </w:t>
      </w:r>
      <w:r w:rsidRPr="00321374">
        <w:rPr>
          <w:color w:val="231F20"/>
          <w:sz w:val="20"/>
          <w:szCs w:val="20"/>
          <w:lang w:val="en-US"/>
        </w:rPr>
        <w:t>together with the data obtained from the content analysis, it is possible that narrative screendance works, which focus on telling a story through dance, have drawn on the praxis of narrative fiction cinema in the creation of their content</w:t>
      </w:r>
      <w:r w:rsidR="00BC51E3" w:rsidRPr="00321374">
        <w:rPr>
          <w:color w:val="231F20"/>
          <w:sz w:val="20"/>
          <w:szCs w:val="20"/>
          <w:lang w:val="en-US"/>
        </w:rPr>
        <w:t xml:space="preserve">. </w:t>
      </w:r>
    </w:p>
    <w:p w14:paraId="749996AC"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717E8CD1" w14:textId="276987CE" w:rsidR="00BC51E3" w:rsidRPr="00321374" w:rsidRDefault="007B5CBE"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lastRenderedPageBreak/>
        <w:t>Moreover, these results are consistent with the fact that in classical dance, as in many works of contemporary or Spanish dance, there is a tendency to tell stories, conveyed through the performers’ bodily expression (</w:t>
      </w:r>
      <w:proofErr w:type="spellStart"/>
      <w:r w:rsidRPr="00321374">
        <w:rPr>
          <w:color w:val="231F20"/>
          <w:sz w:val="20"/>
          <w:szCs w:val="20"/>
          <w:lang w:val="en-US"/>
        </w:rPr>
        <w:t>Sorell</w:t>
      </w:r>
      <w:proofErr w:type="spellEnd"/>
      <w:r w:rsidRPr="00321374">
        <w:rPr>
          <w:color w:val="231F20"/>
          <w:sz w:val="20"/>
          <w:szCs w:val="20"/>
          <w:lang w:val="en-US"/>
        </w:rPr>
        <w:t xml:space="preserve">, 1967; Dallal, 1996). For this reason, it is unsurprising that dance for the screen also exhibits this inclination. However, because screendance differs from traditional dance in its audiovisual format, it must maintain editing rules to </w:t>
      </w:r>
      <w:r w:rsidR="00FA21F5" w:rsidRPr="00321374">
        <w:rPr>
          <w:color w:val="231F20"/>
          <w:sz w:val="20"/>
          <w:szCs w:val="20"/>
          <w:lang w:val="en-US"/>
        </w:rPr>
        <w:t>organize</w:t>
      </w:r>
      <w:r w:rsidRPr="00321374">
        <w:rPr>
          <w:color w:val="231F20"/>
          <w:sz w:val="20"/>
          <w:szCs w:val="20"/>
          <w:lang w:val="en-US"/>
        </w:rPr>
        <w:t xml:space="preserve"> images so that the spectator can understand the plot, as in fiction film</w:t>
      </w:r>
      <w:r w:rsidR="00BC51E3" w:rsidRPr="00321374">
        <w:rPr>
          <w:color w:val="231F20"/>
          <w:sz w:val="20"/>
          <w:szCs w:val="20"/>
          <w:lang w:val="en-US"/>
        </w:rPr>
        <w:t xml:space="preserve">. </w:t>
      </w:r>
    </w:p>
    <w:p w14:paraId="121B9B1A"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1EED2EA8" w14:textId="0A5BCB68" w:rsidR="00BC51E3" w:rsidRPr="00321374" w:rsidRDefault="007B5CBE"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Regarding experimentation associated with the cinematic avant-gardes, Sánchez Noriega (2018) explains that these can be </w:t>
      </w:r>
      <w:r w:rsidR="00FA21F5" w:rsidRPr="00321374">
        <w:rPr>
          <w:color w:val="231F20"/>
          <w:sz w:val="20"/>
          <w:szCs w:val="20"/>
          <w:lang w:val="en-US"/>
        </w:rPr>
        <w:t>organized</w:t>
      </w:r>
      <w:r w:rsidRPr="00321374">
        <w:rPr>
          <w:color w:val="231F20"/>
          <w:sz w:val="20"/>
          <w:szCs w:val="20"/>
          <w:lang w:val="en-US"/>
        </w:rPr>
        <w:t xml:space="preserve"> into three groups: first, Impressionist cinema; second, German abstract cinema alongside Surrealist and Dadaist cinema; and finally, independent or documentary cinema. For Albera (2009), however, the avant-garde should be studied in terms of its positioning in relation to the medium, one dimension of which is experimentation, as well as a cinema that dismantles the established commercial film form through both its narrative style and its modes of distribution</w:t>
      </w:r>
      <w:r w:rsidR="00BC51E3" w:rsidRPr="00321374">
        <w:rPr>
          <w:color w:val="231F20"/>
          <w:sz w:val="20"/>
          <w:szCs w:val="20"/>
          <w:lang w:val="en-US"/>
        </w:rPr>
        <w:t>.</w:t>
      </w:r>
    </w:p>
    <w:p w14:paraId="2553355D"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0C23A44C" w14:textId="0090D413" w:rsidR="00BC51E3" w:rsidRPr="00321374" w:rsidRDefault="007B5CBE"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With regard to a possible link between the avant-gardes and screendance, we have ruled out the documentary tendency, since it entails a mode of narration that presents an idea in an objective, explanatory manner. By contrast, screendance seeks to communicate, from an artistic standpoint and through choreographed movement, an idea or a story</w:t>
      </w:r>
      <w:r w:rsidR="00BC51E3" w:rsidRPr="00321374">
        <w:rPr>
          <w:color w:val="231F20"/>
          <w:sz w:val="20"/>
          <w:szCs w:val="20"/>
          <w:lang w:val="en-US"/>
        </w:rPr>
        <w:t xml:space="preserve">. </w:t>
      </w:r>
    </w:p>
    <w:p w14:paraId="34035B1E"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4E62B31A" w14:textId="45A77EC7" w:rsidR="00BC51E3" w:rsidRPr="00321374" w:rsidRDefault="007B5CBE"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In general terms, avant-garde cinema challenges established rules and breaks with linear narrativity, figuration, and the </w:t>
      </w:r>
      <w:r w:rsidR="00C47B35">
        <w:rPr>
          <w:color w:val="231F20"/>
          <w:sz w:val="20"/>
          <w:szCs w:val="20"/>
          <w:lang w:val="en-US"/>
        </w:rPr>
        <w:t>montage in</w:t>
      </w:r>
      <w:r w:rsidRPr="00321374">
        <w:rPr>
          <w:color w:val="231F20"/>
          <w:sz w:val="20"/>
          <w:szCs w:val="20"/>
          <w:lang w:val="en-US"/>
        </w:rPr>
        <w:t xml:space="preserve"> continuity, and is typically screened in alternative circuits (Albera, 2009; Noriega, 2018). In this sense, independent cinema within the avant-garde was concerned above all with exploring rhythm through shot changes and shot duration. A notable example is Abel Gance’s film La roue (1923), in which the acceleration of shot changes, becoming progressively shorter, produces a visual rhythm that inspired other tendencies within the cinematic avant-gardes (Tejeda, 2008)</w:t>
      </w:r>
      <w:r w:rsidR="00BC51E3" w:rsidRPr="00321374">
        <w:rPr>
          <w:color w:val="231F20"/>
          <w:sz w:val="20"/>
          <w:szCs w:val="20"/>
          <w:lang w:val="en-US"/>
        </w:rPr>
        <w:t>.</w:t>
      </w:r>
    </w:p>
    <w:p w14:paraId="39A52BD7"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3B7DCED4" w14:textId="742403EB"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Rhythm is an essential element in the creation of choreography when manipulating movement (Dallal, 1996). Therefore, it is also a component that screendance must take into account, whether from the perspective of the choreography performed by dancers or through techniques linked to filmic praxis. In this respect, not only Gance’s film but also German abstract cinema explored the achievement of visual rhythm</w:t>
      </w:r>
      <w:r w:rsidR="00BC51E3" w:rsidRPr="00321374">
        <w:rPr>
          <w:color w:val="231F20"/>
          <w:sz w:val="20"/>
          <w:szCs w:val="20"/>
          <w:lang w:val="en-US"/>
        </w:rPr>
        <w:t xml:space="preserve">. </w:t>
      </w:r>
    </w:p>
    <w:p w14:paraId="74083FA2"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64746172" w14:textId="31ABC560"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Within </w:t>
      </w:r>
      <w:r w:rsidR="00C47B35">
        <w:rPr>
          <w:color w:val="231F20"/>
          <w:sz w:val="20"/>
          <w:szCs w:val="20"/>
          <w:lang w:val="en-US"/>
        </w:rPr>
        <w:t xml:space="preserve">the pursuit of an absolute </w:t>
      </w:r>
      <w:r w:rsidRPr="00321374">
        <w:rPr>
          <w:color w:val="231F20"/>
          <w:sz w:val="20"/>
          <w:szCs w:val="20"/>
          <w:lang w:val="en-US"/>
        </w:rPr>
        <w:t>cinema, the painters Viking Eggeling, Hans Richter, Walter Ruttmann, and later Oskar Fischinger, through various techniques, sought to set their abstract paintings in motion, using the displacement of elements within the image to explore visual rhythm. In their films, in a sense, painting danced (Mitry, 1974). For Rees (1999), these works were also linked to a musical dimension, as is dance, where performers move with musical accompaniment (Dallal, 1996)</w:t>
      </w:r>
      <w:r w:rsidR="00BC51E3" w:rsidRPr="00321374">
        <w:rPr>
          <w:color w:val="231F20"/>
          <w:sz w:val="20"/>
          <w:szCs w:val="20"/>
          <w:lang w:val="en-US"/>
        </w:rPr>
        <w:t xml:space="preserve">. </w:t>
      </w:r>
    </w:p>
    <w:p w14:paraId="326529BB"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5FCB48B9" w14:textId="3870B84C"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The exploration of visual rhythm through rapid montage, as in Gance’s film, was also developed in other works such as René Clair’s </w:t>
      </w:r>
      <w:r w:rsidRPr="00321374">
        <w:rPr>
          <w:i/>
          <w:iCs/>
          <w:color w:val="231F20"/>
          <w:sz w:val="20"/>
          <w:szCs w:val="20"/>
          <w:lang w:val="en-US"/>
        </w:rPr>
        <w:t>Entr’acte</w:t>
      </w:r>
      <w:r w:rsidRPr="00321374">
        <w:rPr>
          <w:color w:val="231F20"/>
          <w:sz w:val="20"/>
          <w:szCs w:val="20"/>
          <w:lang w:val="en-US"/>
        </w:rPr>
        <w:t xml:space="preserve"> (1924) (Curtis, 2021), intended to </w:t>
      </w:r>
      <w:r w:rsidRPr="00321374">
        <w:rPr>
          <w:color w:val="231F20"/>
          <w:sz w:val="20"/>
          <w:szCs w:val="20"/>
          <w:lang w:val="en-US"/>
        </w:rPr>
        <w:lastRenderedPageBreak/>
        <w:t>be screened during the intermission of Francis Picabia’s Dadaist ballet</w:t>
      </w:r>
      <w:r w:rsidRPr="00321374">
        <w:rPr>
          <w:i/>
          <w:iCs/>
          <w:color w:val="231F20"/>
          <w:sz w:val="20"/>
          <w:szCs w:val="20"/>
          <w:lang w:val="en-US"/>
        </w:rPr>
        <w:t xml:space="preserve"> </w:t>
      </w:r>
      <w:proofErr w:type="spellStart"/>
      <w:r w:rsidRPr="00321374">
        <w:rPr>
          <w:i/>
          <w:iCs/>
          <w:color w:val="231F20"/>
          <w:sz w:val="20"/>
          <w:szCs w:val="20"/>
          <w:lang w:val="en-US"/>
        </w:rPr>
        <w:t>Relâche</w:t>
      </w:r>
      <w:proofErr w:type="spellEnd"/>
      <w:r w:rsidRPr="00321374">
        <w:rPr>
          <w:color w:val="231F20"/>
          <w:sz w:val="20"/>
          <w:szCs w:val="20"/>
          <w:lang w:val="en-US"/>
        </w:rPr>
        <w:t>. In the film, in addition to its explicit relationship with dance, one can observe the slow-motion leap of a dancer repeated from below, presenting an atypical viewpoint and negating both traditional representations of dance and narrative itself. This approach is close to screendance works that, through the use of audiovisual language, position the spectator from viewpoints that would be impossible in reality</w:t>
      </w:r>
      <w:r w:rsidR="00BC51E3" w:rsidRPr="00321374">
        <w:rPr>
          <w:color w:val="231F20"/>
          <w:sz w:val="20"/>
          <w:szCs w:val="20"/>
          <w:lang w:val="en-US"/>
        </w:rPr>
        <w:t xml:space="preserve">. </w:t>
      </w:r>
    </w:p>
    <w:p w14:paraId="5F79CC80"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14B1DA25" w14:textId="529BB3AF"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Another way of exploring visual rhythm can be observed in </w:t>
      </w:r>
      <w:r w:rsidRPr="00321374">
        <w:rPr>
          <w:i/>
          <w:iCs/>
          <w:color w:val="231F20"/>
          <w:sz w:val="20"/>
          <w:szCs w:val="20"/>
          <w:lang w:val="en-US"/>
        </w:rPr>
        <w:t xml:space="preserve">Ballet </w:t>
      </w:r>
      <w:proofErr w:type="spellStart"/>
      <w:r w:rsidRPr="00321374">
        <w:rPr>
          <w:i/>
          <w:iCs/>
          <w:color w:val="231F20"/>
          <w:sz w:val="20"/>
          <w:szCs w:val="20"/>
          <w:lang w:val="en-US"/>
        </w:rPr>
        <w:t>mécanique</w:t>
      </w:r>
      <w:proofErr w:type="spellEnd"/>
      <w:r w:rsidRPr="00321374">
        <w:rPr>
          <w:color w:val="231F20"/>
          <w:sz w:val="20"/>
          <w:szCs w:val="20"/>
          <w:lang w:val="en-US"/>
        </w:rPr>
        <w:t xml:space="preserve"> (1924) by Dudley Murphy and Fernand Léger, situated within Cubist experimental cinema. The work creates a dance of objects within a framework of prismatic divisions, alternating non-figurative images and manipulating both internal movement within the frame and its possible recognition through the distortion of focus (Tejeda, 2008)</w:t>
      </w:r>
      <w:r w:rsidR="00BC51E3" w:rsidRPr="00321374">
        <w:rPr>
          <w:color w:val="231F20"/>
          <w:sz w:val="20"/>
          <w:szCs w:val="20"/>
          <w:lang w:val="en-US"/>
        </w:rPr>
        <w:t xml:space="preserve">. </w:t>
      </w:r>
    </w:p>
    <w:p w14:paraId="4F185908"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060A775D" w14:textId="7D7DA5C9"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In films associated with the Surrealist movement, the focus was not on visual rhythm but rather on the relationship between reality and dream, the factual and the oneiric, the known and the unknown. Although they also rejected commercial cinema, they explored this notion in an audiovisual format (Stam, 2019). One example that may be linked to screendance is Man Ray’s work </w:t>
      </w:r>
      <w:proofErr w:type="spellStart"/>
      <w:r w:rsidRPr="00321374">
        <w:rPr>
          <w:i/>
          <w:iCs/>
          <w:color w:val="231F20"/>
          <w:sz w:val="20"/>
          <w:szCs w:val="20"/>
          <w:lang w:val="en-US"/>
        </w:rPr>
        <w:t>Emak</w:t>
      </w:r>
      <w:proofErr w:type="spellEnd"/>
      <w:r w:rsidRPr="00321374">
        <w:rPr>
          <w:i/>
          <w:iCs/>
          <w:color w:val="231F20"/>
          <w:sz w:val="20"/>
          <w:szCs w:val="20"/>
          <w:lang w:val="en-US"/>
        </w:rPr>
        <w:t xml:space="preserve"> </w:t>
      </w:r>
      <w:proofErr w:type="spellStart"/>
      <w:r w:rsidRPr="00321374">
        <w:rPr>
          <w:i/>
          <w:iCs/>
          <w:color w:val="231F20"/>
          <w:sz w:val="20"/>
          <w:szCs w:val="20"/>
          <w:lang w:val="en-US"/>
        </w:rPr>
        <w:t>bakia</w:t>
      </w:r>
      <w:proofErr w:type="spellEnd"/>
      <w:r w:rsidRPr="00321374">
        <w:rPr>
          <w:color w:val="231F20"/>
          <w:sz w:val="20"/>
          <w:szCs w:val="20"/>
          <w:lang w:val="en-US"/>
        </w:rPr>
        <w:t xml:space="preserve"> (1926), in which the author creates, according to Tejeda (2008), a somewhat peculiar ballet through spatiotemporal deconstruction</w:t>
      </w:r>
      <w:r w:rsidR="00BC51E3" w:rsidRPr="00321374">
        <w:rPr>
          <w:color w:val="231F20"/>
          <w:sz w:val="20"/>
          <w:szCs w:val="20"/>
          <w:lang w:val="en-US"/>
        </w:rPr>
        <w:t xml:space="preserve">. </w:t>
      </w:r>
    </w:p>
    <w:p w14:paraId="02CFCC2E"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5A91EDEB" w14:textId="05126A81"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 regard to French Impressionist cinema associated with directors such as Louis Delluc, Jean Epstein, and Germaine Dulac, these filmmakers focused on investigating emotion through the image, seeking to represent characters’ psychology through editing techniques and manipulating the image with effects such as superimpositions or dissolves (Aumont, 2016). A film from this movement that can be linked to screendance is Dulac’s </w:t>
      </w:r>
      <w:proofErr w:type="spellStart"/>
      <w:r w:rsidRPr="00321374">
        <w:rPr>
          <w:i/>
          <w:iCs/>
          <w:color w:val="231F20"/>
          <w:sz w:val="20"/>
          <w:szCs w:val="20"/>
          <w:lang w:val="en-US"/>
        </w:rPr>
        <w:t>Thèmes</w:t>
      </w:r>
      <w:proofErr w:type="spellEnd"/>
      <w:r w:rsidRPr="00321374">
        <w:rPr>
          <w:i/>
          <w:iCs/>
          <w:color w:val="231F20"/>
          <w:sz w:val="20"/>
          <w:szCs w:val="20"/>
          <w:lang w:val="en-US"/>
        </w:rPr>
        <w:t xml:space="preserve"> et variations</w:t>
      </w:r>
      <w:r w:rsidRPr="00321374">
        <w:rPr>
          <w:color w:val="231F20"/>
          <w:sz w:val="20"/>
          <w:szCs w:val="20"/>
          <w:lang w:val="en-US"/>
        </w:rPr>
        <w:t xml:space="preserve"> (1928), which presents a kind of pas de deux between the images of a dancer who imitates the movements of the machines shown through parallel editing and which therefore function as her dance partner</w:t>
      </w:r>
      <w:r w:rsidR="00BC51E3" w:rsidRPr="00321374">
        <w:rPr>
          <w:color w:val="231F20"/>
          <w:sz w:val="20"/>
          <w:szCs w:val="20"/>
          <w:lang w:val="en-US"/>
        </w:rPr>
        <w:t xml:space="preserve">. </w:t>
      </w:r>
    </w:p>
    <w:p w14:paraId="2B9F7176"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2B6146FC" w14:textId="289F9FAA"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As we have seen, the exploration of choreographed movement, visual rhythm, and works linked to dance concepts within the cinematic avant-gardes and experimental cinema suggests that these currents may have constituted a potential precursor of screendance. Moreover, as shown in Table 1, the results of our content analysis suggest that its principal feature</w:t>
      </w:r>
      <w:r w:rsidR="00FA21F5" w:rsidRPr="00321374">
        <w:rPr>
          <w:color w:val="231F20"/>
          <w:sz w:val="20"/>
          <w:szCs w:val="20"/>
          <w:lang w:val="en-US"/>
        </w:rPr>
        <w:t xml:space="preserve">, </w:t>
      </w:r>
      <w:r w:rsidRPr="00321374">
        <w:rPr>
          <w:color w:val="231F20"/>
          <w:sz w:val="20"/>
          <w:szCs w:val="20"/>
          <w:lang w:val="en-US"/>
        </w:rPr>
        <w:t xml:space="preserve">presenting dance on screen through the </w:t>
      </w:r>
      <w:r w:rsidR="007C0977" w:rsidRPr="00321374">
        <w:rPr>
          <w:color w:val="231F20"/>
          <w:sz w:val="20"/>
          <w:szCs w:val="20"/>
          <w:lang w:val="en-US"/>
        </w:rPr>
        <w:t>hybridization</w:t>
      </w:r>
      <w:r w:rsidRPr="00321374">
        <w:rPr>
          <w:color w:val="231F20"/>
          <w:sz w:val="20"/>
          <w:szCs w:val="20"/>
          <w:lang w:val="en-US"/>
        </w:rPr>
        <w:t xml:space="preserve"> of audiovisual and choreographic language</w:t>
      </w:r>
      <w:r w:rsidR="00FA21F5" w:rsidRPr="00321374">
        <w:rPr>
          <w:color w:val="231F20"/>
          <w:sz w:val="20"/>
          <w:szCs w:val="20"/>
          <w:lang w:val="en-US"/>
        </w:rPr>
        <w:t xml:space="preserve">, </w:t>
      </w:r>
      <w:r w:rsidRPr="00321374">
        <w:rPr>
          <w:color w:val="231F20"/>
          <w:sz w:val="20"/>
          <w:szCs w:val="20"/>
          <w:lang w:val="en-US"/>
        </w:rPr>
        <w:t>can be achieved through Temporal manipulation (54.1%) and, to a lesser extent, Spatial manipulation (13.6%), Body manipulation (18.4%), Image manipulation (15.1%), and Points of view (22.4%), as occurs in films produced within the context of the cinematic avant-gardes and experimental cinema</w:t>
      </w:r>
      <w:r w:rsidR="00BC51E3" w:rsidRPr="00321374">
        <w:rPr>
          <w:color w:val="231F20"/>
          <w:sz w:val="20"/>
          <w:szCs w:val="20"/>
          <w:lang w:val="en-US"/>
        </w:rPr>
        <w:t xml:space="preserve">. </w:t>
      </w:r>
    </w:p>
    <w:p w14:paraId="3E5A887C"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4DECF9A1" w14:textId="2D099AB9"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 the emergence of the Sony Portapak in the 1960s, which </w:t>
      </w:r>
      <w:r w:rsidR="00514DF0" w:rsidRPr="00321374">
        <w:rPr>
          <w:color w:val="231F20"/>
          <w:sz w:val="20"/>
          <w:szCs w:val="20"/>
          <w:lang w:val="en-US"/>
        </w:rPr>
        <w:t>democratized</w:t>
      </w:r>
      <w:r w:rsidRPr="00321374">
        <w:rPr>
          <w:color w:val="231F20"/>
          <w:sz w:val="20"/>
          <w:szCs w:val="20"/>
          <w:lang w:val="en-US"/>
        </w:rPr>
        <w:t xml:space="preserve"> access to video production, artists from different fields had the opportunity to experiment with this medium in an affordable way. Early video art pioneers had the freedom to explore the medium from a perspective not constrained by production requirements or by market directives in the creation of their works (Baigorri, 2007)</w:t>
      </w:r>
      <w:r w:rsidR="00BC51E3" w:rsidRPr="00321374">
        <w:rPr>
          <w:color w:val="231F20"/>
          <w:sz w:val="20"/>
          <w:szCs w:val="20"/>
          <w:lang w:val="en-US"/>
        </w:rPr>
        <w:t>.</w:t>
      </w:r>
    </w:p>
    <w:p w14:paraId="62C99B61"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1731654A" w14:textId="0CE9AE8C"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lastRenderedPageBreak/>
        <w:t xml:space="preserve">These artists, who “looked at video with the eyes of art rather than those of cinema or television” (Pérez </w:t>
      </w:r>
      <w:proofErr w:type="spellStart"/>
      <w:r w:rsidRPr="00321374">
        <w:rPr>
          <w:color w:val="231F20"/>
          <w:sz w:val="20"/>
          <w:szCs w:val="20"/>
          <w:lang w:val="en-US"/>
        </w:rPr>
        <w:t>Ornia</w:t>
      </w:r>
      <w:proofErr w:type="spellEnd"/>
      <w:r w:rsidRPr="00321374">
        <w:rPr>
          <w:color w:val="231F20"/>
          <w:sz w:val="20"/>
          <w:szCs w:val="20"/>
          <w:lang w:val="en-US"/>
        </w:rPr>
        <w:t>, 1991, p. 50), drew on earlier investigations of the image undertaken by artists within the cinematic avant-gardes, experimental cinema, and underground cinema (Fernández Sánchez, 1997). Accordingly, given their impetus to break with established rules in order to promote the experimental nature of the image, it would make sense that such approaches also influenced the formation of screendance works</w:t>
      </w:r>
      <w:r w:rsidR="00BC51E3" w:rsidRPr="00321374">
        <w:rPr>
          <w:color w:val="231F20"/>
          <w:sz w:val="20"/>
          <w:szCs w:val="20"/>
          <w:lang w:val="en-US"/>
        </w:rPr>
        <w:t xml:space="preserve">. </w:t>
      </w:r>
    </w:p>
    <w:p w14:paraId="11743AAF"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5D078C84" w14:textId="6C485A6A"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Similarly, it should be noted that some theorists, such as Rosenberg (2012) and Monroy Rocha (2019), support locating screendance as a subgenre of video art, partly due to its praxis and partly due to its possible exhibition formats, w</w:t>
      </w:r>
      <w:r w:rsidR="00C47B35">
        <w:rPr>
          <w:color w:val="231F20"/>
          <w:sz w:val="20"/>
          <w:szCs w:val="20"/>
          <w:lang w:val="en-US"/>
        </w:rPr>
        <w:t>ith</w:t>
      </w:r>
      <w:r w:rsidRPr="00321374">
        <w:rPr>
          <w:color w:val="231F20"/>
          <w:sz w:val="20"/>
          <w:szCs w:val="20"/>
          <w:lang w:val="en-US"/>
        </w:rPr>
        <w:t xml:space="preserve"> single-channel videos and may also appear as installations, multi-screen exhibitions, and immersive environments</w:t>
      </w:r>
      <w:r w:rsidR="00BC51E3" w:rsidRPr="00321374">
        <w:rPr>
          <w:color w:val="231F20"/>
          <w:sz w:val="20"/>
          <w:szCs w:val="20"/>
          <w:lang w:val="en-US"/>
        </w:rPr>
        <w:t xml:space="preserve">. </w:t>
      </w:r>
    </w:p>
    <w:p w14:paraId="0726F666"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05A68C7B" w14:textId="713955A1"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In addition, other artistic fields became interested in this new medium</w:t>
      </w:r>
      <w:r w:rsidR="00FA21F5" w:rsidRPr="00321374">
        <w:rPr>
          <w:color w:val="231F20"/>
          <w:sz w:val="20"/>
          <w:szCs w:val="20"/>
          <w:lang w:val="en-US"/>
        </w:rPr>
        <w:t xml:space="preserve">, </w:t>
      </w:r>
      <w:r w:rsidRPr="00321374">
        <w:rPr>
          <w:color w:val="231F20"/>
          <w:sz w:val="20"/>
          <w:szCs w:val="20"/>
          <w:lang w:val="en-US"/>
        </w:rPr>
        <w:t>such as the visual arts, music, dance, theatre, literature, and even newer artistic domains such as performance art</w:t>
      </w:r>
      <w:r w:rsidR="00FA21F5" w:rsidRPr="00321374">
        <w:rPr>
          <w:color w:val="231F20"/>
          <w:sz w:val="20"/>
          <w:szCs w:val="20"/>
          <w:lang w:val="en-US"/>
        </w:rPr>
        <w:t xml:space="preserve">, </w:t>
      </w:r>
      <w:r w:rsidRPr="00321374">
        <w:rPr>
          <w:color w:val="231F20"/>
          <w:sz w:val="20"/>
          <w:szCs w:val="20"/>
          <w:lang w:val="en-US"/>
        </w:rPr>
        <w:t>and explored the different possibilities and limits that could be developed within a medium in which boundaries had not yet been established (Martin, 2006). As a result, conceptual works began to emerge that incorporated different kinds of language, not solely cinematic language</w:t>
      </w:r>
      <w:r w:rsidR="00BC51E3" w:rsidRPr="00321374">
        <w:rPr>
          <w:color w:val="231F20"/>
          <w:sz w:val="20"/>
          <w:szCs w:val="20"/>
          <w:lang w:val="en-US"/>
        </w:rPr>
        <w:t xml:space="preserve">. </w:t>
      </w:r>
    </w:p>
    <w:p w14:paraId="097E0756"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61680D11" w14:textId="655FFB7D"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According to Pérez </w:t>
      </w:r>
      <w:proofErr w:type="spellStart"/>
      <w:r w:rsidRPr="00321374">
        <w:rPr>
          <w:color w:val="231F20"/>
          <w:sz w:val="20"/>
          <w:szCs w:val="20"/>
          <w:lang w:val="en-US"/>
        </w:rPr>
        <w:t>Ornia</w:t>
      </w:r>
      <w:proofErr w:type="spellEnd"/>
      <w:r w:rsidRPr="00321374">
        <w:rPr>
          <w:color w:val="231F20"/>
          <w:sz w:val="20"/>
          <w:szCs w:val="20"/>
          <w:lang w:val="en-US"/>
        </w:rPr>
        <w:t xml:space="preserve"> (1991), video art presents four fundamental characteristics: the use of videotape technology in a way different from television; a need for innovation and a break with the established order, as had been pursued by the cinematic avant-gardes; the inclusion of collaborations from other artistic fields; and patronage by artistic circuits such as museums or foundations</w:t>
      </w:r>
      <w:r w:rsidR="00BC51E3" w:rsidRPr="00321374">
        <w:rPr>
          <w:color w:val="231F20"/>
          <w:sz w:val="20"/>
          <w:szCs w:val="20"/>
          <w:lang w:val="en-US"/>
        </w:rPr>
        <w:t xml:space="preserve">. </w:t>
      </w:r>
    </w:p>
    <w:p w14:paraId="15B2DB48" w14:textId="77777777" w:rsidR="00B45566" w:rsidRPr="00321374" w:rsidRDefault="00B45566" w:rsidP="00BC51E3">
      <w:pPr>
        <w:widowControl/>
        <w:pBdr>
          <w:top w:val="nil"/>
          <w:left w:val="nil"/>
          <w:bottom w:val="nil"/>
          <w:right w:val="nil"/>
          <w:between w:val="nil"/>
        </w:pBdr>
        <w:spacing w:after="80"/>
        <w:ind w:left="426" w:right="370"/>
        <w:jc w:val="both"/>
        <w:rPr>
          <w:color w:val="231F20"/>
          <w:sz w:val="20"/>
          <w:szCs w:val="20"/>
          <w:lang w:val="en-US"/>
        </w:rPr>
      </w:pPr>
    </w:p>
    <w:p w14:paraId="6FCA42D4" w14:textId="2246EF43"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With regard to screendance, although the digital format is now used rather than videotape, a shift that also extends to recent video art, it is constituted through the exploration of the image, as we have seen, but also through artistic collaborations with other fields, such as performance art, music, video art, or cinema. The clearest example of such collaborations can be seen in many works produced in the 1960s and 1970s, such as those created by choreographer Cunningham and filmmaker Alan, the work </w:t>
      </w:r>
      <w:r w:rsidRPr="00321374">
        <w:rPr>
          <w:i/>
          <w:iCs/>
          <w:color w:val="231F20"/>
          <w:sz w:val="20"/>
          <w:szCs w:val="20"/>
          <w:lang w:val="en-US"/>
        </w:rPr>
        <w:t>Nine Variations on a Dance Theme</w:t>
      </w:r>
      <w:r w:rsidRPr="00321374">
        <w:rPr>
          <w:color w:val="231F20"/>
          <w:sz w:val="20"/>
          <w:szCs w:val="20"/>
          <w:lang w:val="en-US"/>
        </w:rPr>
        <w:t xml:space="preserve"> (1966), created by filmmaker Harris and dancer De Jong, or works produced collaboratively within the framework of the Judson Dance Theatre (Burt, 2006)</w:t>
      </w:r>
      <w:r w:rsidR="00BC51E3" w:rsidRPr="00321374">
        <w:rPr>
          <w:color w:val="231F20"/>
          <w:sz w:val="20"/>
          <w:szCs w:val="20"/>
          <w:lang w:val="en-US"/>
        </w:rPr>
        <w:t>.</w:t>
      </w:r>
    </w:p>
    <w:p w14:paraId="79744EE4"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3D72B04F" w14:textId="38902BF3"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Furthermore, as with video art, screendance circulates primarily through an almost non-commercial circuit, </w:t>
      </w:r>
      <w:r w:rsidR="00FA21F5" w:rsidRPr="00321374">
        <w:rPr>
          <w:color w:val="231F20"/>
          <w:sz w:val="20"/>
          <w:szCs w:val="20"/>
          <w:lang w:val="en-US"/>
        </w:rPr>
        <w:t>centered</w:t>
      </w:r>
      <w:r w:rsidRPr="00321374">
        <w:rPr>
          <w:color w:val="231F20"/>
          <w:sz w:val="20"/>
          <w:szCs w:val="20"/>
          <w:lang w:val="en-US"/>
        </w:rPr>
        <w:t xml:space="preserve"> on dissemination via </w:t>
      </w:r>
      <w:r w:rsidR="00FA21F5" w:rsidRPr="00321374">
        <w:rPr>
          <w:color w:val="231F20"/>
          <w:sz w:val="20"/>
          <w:szCs w:val="20"/>
          <w:lang w:val="en-US"/>
        </w:rPr>
        <w:t>specialized</w:t>
      </w:r>
      <w:r w:rsidRPr="00321374">
        <w:rPr>
          <w:color w:val="231F20"/>
          <w:sz w:val="20"/>
          <w:szCs w:val="20"/>
          <w:lang w:val="en-US"/>
        </w:rPr>
        <w:t xml:space="preserve"> festivals that perform curatorial work, or to a lesser extent through the art circuit via galleries and patronage. Therefore, video art may be another factor that has influenced the formation of screendance works, not only in terms of praxis but also in its mode of distribution, which is closer to artistic circuits</w:t>
      </w:r>
      <w:r w:rsidR="00BC51E3" w:rsidRPr="00321374">
        <w:rPr>
          <w:color w:val="231F20"/>
          <w:sz w:val="20"/>
          <w:szCs w:val="20"/>
          <w:lang w:val="en-US"/>
        </w:rPr>
        <w:t>.</w:t>
      </w:r>
    </w:p>
    <w:p w14:paraId="64B6C177"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73E292C0" w14:textId="597A9BC0"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lastRenderedPageBreak/>
        <w:t xml:space="preserve">Performance art, consolidated from the happening and Fluxus movements, departs from theatrical narrative, or, in the case of video performance, from an audiovisual script, giving rise to a form of art that </w:t>
      </w:r>
      <w:r w:rsidR="00C47B35">
        <w:rPr>
          <w:color w:val="231F20"/>
          <w:sz w:val="20"/>
          <w:szCs w:val="20"/>
          <w:lang w:val="en-US"/>
        </w:rPr>
        <w:t xml:space="preserve">may use any object or temporal duration </w:t>
      </w:r>
      <w:r w:rsidRPr="00321374">
        <w:rPr>
          <w:color w:val="231F20"/>
          <w:sz w:val="20"/>
          <w:szCs w:val="20"/>
          <w:lang w:val="en-US"/>
        </w:rPr>
        <w:t>as material for its configuration. This produces a concept of reality as art, rejecting the traditional to establish a new artistic language (Fernández Consuegra, 2016)</w:t>
      </w:r>
      <w:r w:rsidR="00BC51E3" w:rsidRPr="00321374">
        <w:rPr>
          <w:color w:val="231F20"/>
          <w:sz w:val="20"/>
          <w:szCs w:val="20"/>
          <w:lang w:val="en-US"/>
        </w:rPr>
        <w:t>.</w:t>
      </w:r>
    </w:p>
    <w:p w14:paraId="059938A4"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5624B799" w14:textId="0D9AFDC3"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According to Pérez </w:t>
      </w:r>
      <w:proofErr w:type="spellStart"/>
      <w:r w:rsidRPr="00321374">
        <w:rPr>
          <w:color w:val="231F20"/>
          <w:sz w:val="20"/>
          <w:szCs w:val="20"/>
          <w:lang w:val="en-US"/>
        </w:rPr>
        <w:t>Ornia</w:t>
      </w:r>
      <w:proofErr w:type="spellEnd"/>
      <w:r w:rsidRPr="00321374">
        <w:rPr>
          <w:color w:val="231F20"/>
          <w:sz w:val="20"/>
          <w:szCs w:val="20"/>
          <w:lang w:val="en-US"/>
        </w:rPr>
        <w:t xml:space="preserve"> (1991), works created in Fluxus events relate modern dance, happenings, and musical experimentation. In these events, synergies among artists of all kinds produced works that incorporated characteristics from each domain. Screendance looks to these events and likewise uses “video to narratively delocalize and to introduce first-person identity into the frame” (Rosenberg, 2012, p. 52), a fundamental aspect of video performance. This can be observed in </w:t>
      </w:r>
      <w:r w:rsidRPr="00514DF0">
        <w:rPr>
          <w:i/>
          <w:iCs/>
          <w:color w:val="231F20"/>
          <w:sz w:val="20"/>
          <w:szCs w:val="20"/>
          <w:lang w:val="en-US"/>
        </w:rPr>
        <w:t>Variations V</w:t>
      </w:r>
      <w:r w:rsidRPr="00321374">
        <w:rPr>
          <w:color w:val="231F20"/>
          <w:sz w:val="20"/>
          <w:szCs w:val="20"/>
          <w:lang w:val="en-US"/>
        </w:rPr>
        <w:t xml:space="preserve"> (1966), created through the collaboration of composer Cage, choreographer Cunningham, and filmmaker Tudor. In this performance-art-like work, dancers’ movements triggered sounds, while they interacted, without any narrative, with everyday elements, performing trivial gestures (</w:t>
      </w:r>
      <w:proofErr w:type="spellStart"/>
      <w:r w:rsidRPr="00321374">
        <w:rPr>
          <w:color w:val="231F20"/>
          <w:sz w:val="20"/>
          <w:szCs w:val="20"/>
          <w:lang w:val="en-US"/>
        </w:rPr>
        <w:t>Celant</w:t>
      </w:r>
      <w:proofErr w:type="spellEnd"/>
      <w:r w:rsidRPr="00321374">
        <w:rPr>
          <w:color w:val="231F20"/>
          <w:sz w:val="20"/>
          <w:szCs w:val="20"/>
          <w:lang w:val="en-US"/>
        </w:rPr>
        <w:t>, 1999)</w:t>
      </w:r>
      <w:r w:rsidR="00BC51E3" w:rsidRPr="00321374">
        <w:rPr>
          <w:color w:val="231F20"/>
          <w:sz w:val="20"/>
          <w:szCs w:val="20"/>
          <w:lang w:val="en-US"/>
        </w:rPr>
        <w:t xml:space="preserve">. </w:t>
      </w:r>
    </w:p>
    <w:p w14:paraId="4C7525FF"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59A45F7E" w14:textId="5D0E930C"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Although performance art can be linked to photography and video, video performance is constituted as an entity in its own right, producing a performance-art work that can exist only in its audiovisual form. Nevertheless, it maintains the fundamental characteristics of performance art, including the artist becoming both subject and object, and the exploration of a concept (Fernández Consuegra, 2016). This aspect has a close relationship with screendance works that explore a concept, turning the performer into both object and subject. However, in the case of these artistic works, the investigation of a concept is usually limited to the notion of choreographed movement, regardless of whether this movement originates from the dancer, the camera, or visual effects produced through post-production techniques. Therefore, video performance may have influenced the formation of screendance works in this respect</w:t>
      </w:r>
      <w:r w:rsidR="00BC51E3" w:rsidRPr="00321374">
        <w:rPr>
          <w:color w:val="231F20"/>
          <w:sz w:val="20"/>
          <w:szCs w:val="20"/>
          <w:lang w:val="en-US"/>
        </w:rPr>
        <w:t xml:space="preserve">. </w:t>
      </w:r>
    </w:p>
    <w:p w14:paraId="3376130A"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11F048BB" w14:textId="1D95038E"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As with dance, since the beginnings of the cinematograph, moving images have been closely associated with music, a relationship that intensified with the arrival of sound cinema in the late 1920s. For this reason, it is not surprising that today “the music and television industries need the music video format: cinematic micro-narratives that illustrate songs in order to promote record sales” (Pérez </w:t>
      </w:r>
      <w:proofErr w:type="spellStart"/>
      <w:r w:rsidRPr="00321374">
        <w:rPr>
          <w:color w:val="231F20"/>
          <w:sz w:val="20"/>
          <w:szCs w:val="20"/>
          <w:lang w:val="en-US"/>
        </w:rPr>
        <w:t>Ornia</w:t>
      </w:r>
      <w:proofErr w:type="spellEnd"/>
      <w:r w:rsidRPr="00321374">
        <w:rPr>
          <w:color w:val="231F20"/>
          <w:sz w:val="20"/>
          <w:szCs w:val="20"/>
          <w:lang w:val="en-US"/>
        </w:rPr>
        <w:t>, 1991, p. 127)</w:t>
      </w:r>
      <w:r w:rsidR="00BC51E3" w:rsidRPr="00321374">
        <w:rPr>
          <w:color w:val="231F20"/>
          <w:sz w:val="20"/>
          <w:szCs w:val="20"/>
          <w:lang w:val="en-US"/>
        </w:rPr>
        <w:t xml:space="preserve">. </w:t>
      </w:r>
    </w:p>
    <w:p w14:paraId="51FF2B5A"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4A22ED3F" w14:textId="2E627BE6" w:rsidR="00BC51E3"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Dance in music videos may appear in two ways: one in which dance and performers act with a narrative and dramatic purpose in support of the song’s theme, and another in which dance appears disconnected from the story told by the song, through fragmented images with no clear relationship to the diegesis (Buckland &amp; Stewart, 1993)</w:t>
      </w:r>
      <w:r w:rsidR="00BC51E3" w:rsidRPr="00321374">
        <w:rPr>
          <w:color w:val="231F20"/>
          <w:sz w:val="20"/>
          <w:szCs w:val="20"/>
          <w:lang w:val="en-US"/>
        </w:rPr>
        <w:t xml:space="preserve">. </w:t>
      </w:r>
    </w:p>
    <w:p w14:paraId="363512F1"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00000031" w14:textId="2798C83D" w:rsidR="00FB42D9" w:rsidRPr="00321374" w:rsidRDefault="004512D8"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As Dodds (2004) explains, there are </w:t>
      </w:r>
      <w:r w:rsidR="00C47B35">
        <w:rPr>
          <w:color w:val="231F20"/>
          <w:sz w:val="20"/>
          <w:szCs w:val="20"/>
          <w:lang w:val="en-US"/>
        </w:rPr>
        <w:t>formal</w:t>
      </w:r>
      <w:r w:rsidRPr="00321374">
        <w:rPr>
          <w:color w:val="231F20"/>
          <w:sz w:val="20"/>
          <w:szCs w:val="20"/>
          <w:lang w:val="en-US"/>
        </w:rPr>
        <w:t xml:space="preserve"> similarities between these audiovisual formats, which often use performers’ bodies to execute choreography as a fundamental element of their existence. Nevertheless, although music videos and screendance works share the convergence of dance and music in an audiovisual format, the influence of the former on the configuration of the latter seems unlikely. This is due to the distinctive </w:t>
      </w:r>
      <w:r w:rsidRPr="00321374">
        <w:rPr>
          <w:color w:val="231F20"/>
          <w:sz w:val="20"/>
          <w:szCs w:val="20"/>
          <w:lang w:val="en-US"/>
        </w:rPr>
        <w:lastRenderedPageBreak/>
        <w:t>nature of the music video, whose principal purpose is the promotion of music and the construction of a sonic narrative, relegating dance to a secondary or subordinate role (</w:t>
      </w:r>
      <w:proofErr w:type="spellStart"/>
      <w:r w:rsidRPr="00321374">
        <w:rPr>
          <w:color w:val="231F20"/>
          <w:sz w:val="20"/>
          <w:szCs w:val="20"/>
          <w:lang w:val="en-US"/>
        </w:rPr>
        <w:t>Sedeño</w:t>
      </w:r>
      <w:proofErr w:type="spellEnd"/>
      <w:r w:rsidRPr="00321374">
        <w:rPr>
          <w:color w:val="231F20"/>
          <w:sz w:val="20"/>
          <w:szCs w:val="20"/>
          <w:lang w:val="en-US"/>
        </w:rPr>
        <w:t xml:space="preserve"> </w:t>
      </w:r>
      <w:proofErr w:type="spellStart"/>
      <w:r w:rsidRPr="00321374">
        <w:rPr>
          <w:color w:val="231F20"/>
          <w:sz w:val="20"/>
          <w:szCs w:val="20"/>
          <w:lang w:val="en-US"/>
        </w:rPr>
        <w:t>Valdellós</w:t>
      </w:r>
      <w:proofErr w:type="spellEnd"/>
      <w:r w:rsidRPr="00321374">
        <w:rPr>
          <w:color w:val="231F20"/>
          <w:sz w:val="20"/>
          <w:szCs w:val="20"/>
          <w:lang w:val="en-US"/>
        </w:rPr>
        <w:t>, 2009). This fundamental difference limits the possibility that music videos significantly shaped the development of screendance</w:t>
      </w:r>
      <w:r w:rsidR="00BC51E3" w:rsidRPr="00321374">
        <w:rPr>
          <w:color w:val="231F20"/>
          <w:sz w:val="20"/>
          <w:szCs w:val="20"/>
          <w:lang w:val="en-US"/>
        </w:rPr>
        <w:t xml:space="preserve">. </w:t>
      </w:r>
    </w:p>
    <w:p w14:paraId="00000032" w14:textId="77777777" w:rsidR="00FB42D9" w:rsidRPr="00321374" w:rsidRDefault="00FB42D9">
      <w:pPr>
        <w:widowControl/>
        <w:pBdr>
          <w:top w:val="nil"/>
          <w:left w:val="nil"/>
          <w:bottom w:val="nil"/>
          <w:right w:val="nil"/>
          <w:between w:val="nil"/>
        </w:pBdr>
        <w:spacing w:after="80"/>
        <w:ind w:left="638" w:right="668"/>
        <w:jc w:val="both"/>
        <w:rPr>
          <w:color w:val="231F20"/>
          <w:sz w:val="18"/>
          <w:szCs w:val="18"/>
          <w:lang w:val="en-US"/>
        </w:rPr>
      </w:pPr>
    </w:p>
    <w:p w14:paraId="00000033" w14:textId="3F970211" w:rsidR="00FB42D9" w:rsidRPr="00321374" w:rsidRDefault="00BC51E3">
      <w:pPr>
        <w:pStyle w:val="Ttulo1"/>
        <w:widowControl/>
        <w:numPr>
          <w:ilvl w:val="0"/>
          <w:numId w:val="3"/>
        </w:numPr>
        <w:spacing w:after="80"/>
        <w:rPr>
          <w:rFonts w:ascii="Garamond" w:eastAsia="Garamond" w:hAnsi="Garamond" w:cs="Garamond"/>
          <w:b/>
          <w:color w:val="98361E"/>
          <w:lang w:val="en-US"/>
        </w:rPr>
      </w:pPr>
      <w:r w:rsidRPr="00321374">
        <w:rPr>
          <w:rFonts w:ascii="Garamond" w:eastAsia="Garamond" w:hAnsi="Garamond" w:cs="Garamond"/>
          <w:b/>
          <w:color w:val="98361E"/>
          <w:lang w:val="en-US"/>
        </w:rPr>
        <w:t>Conclusions</w:t>
      </w:r>
    </w:p>
    <w:p w14:paraId="00000034" w14:textId="77777777" w:rsidR="00FB42D9" w:rsidRPr="00321374" w:rsidRDefault="00FB42D9">
      <w:pPr>
        <w:pStyle w:val="Ttulo1"/>
        <w:widowControl/>
        <w:spacing w:after="80"/>
        <w:ind w:left="426"/>
        <w:rPr>
          <w:rFonts w:ascii="Garamond" w:eastAsia="Garamond" w:hAnsi="Garamond" w:cs="Garamond"/>
          <w:color w:val="98361E"/>
          <w:lang w:val="en-US"/>
        </w:rPr>
      </w:pPr>
    </w:p>
    <w:p w14:paraId="3B2D81C4" w14:textId="43AD17BE" w:rsidR="00BC51E3" w:rsidRPr="00321374" w:rsidRDefault="00FA21F5"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Screendance works, which are constituted through the </w:t>
      </w:r>
      <w:r w:rsidR="00321374" w:rsidRPr="00321374">
        <w:rPr>
          <w:color w:val="231F20"/>
          <w:sz w:val="20"/>
          <w:szCs w:val="20"/>
          <w:lang w:val="en-US"/>
        </w:rPr>
        <w:t>hybridization</w:t>
      </w:r>
      <w:r w:rsidRPr="00321374">
        <w:rPr>
          <w:color w:val="231F20"/>
          <w:sz w:val="20"/>
          <w:szCs w:val="20"/>
          <w:lang w:val="en-US"/>
        </w:rPr>
        <w:t xml:space="preserve"> of two different languages</w:t>
      </w:r>
      <w:r w:rsidR="00514DF0">
        <w:rPr>
          <w:color w:val="231F20"/>
          <w:sz w:val="20"/>
          <w:szCs w:val="20"/>
          <w:lang w:val="en-US"/>
        </w:rPr>
        <w:t xml:space="preserve">, </w:t>
      </w:r>
      <w:r w:rsidRPr="00321374">
        <w:rPr>
          <w:color w:val="231F20"/>
          <w:sz w:val="20"/>
          <w:szCs w:val="20"/>
          <w:lang w:val="en-US"/>
        </w:rPr>
        <w:t>cinematic and choreographic</w:t>
      </w:r>
      <w:r w:rsidR="00514DF0">
        <w:rPr>
          <w:color w:val="231F20"/>
          <w:sz w:val="20"/>
          <w:szCs w:val="20"/>
          <w:lang w:val="en-US"/>
        </w:rPr>
        <w:t xml:space="preserve">, </w:t>
      </w:r>
      <w:r w:rsidRPr="00321374">
        <w:rPr>
          <w:color w:val="231F20"/>
          <w:sz w:val="20"/>
          <w:szCs w:val="20"/>
          <w:lang w:val="en-US"/>
        </w:rPr>
        <w:t xml:space="preserve">are, above all, audiovisual products that can only be experienced through viewing on a screen. It is clear that their genealogy </w:t>
      </w:r>
      <w:r w:rsidR="00C47B35">
        <w:rPr>
          <w:color w:val="231F20"/>
          <w:sz w:val="20"/>
          <w:szCs w:val="20"/>
          <w:lang w:val="en-US"/>
        </w:rPr>
        <w:t>can be traced directly to</w:t>
      </w:r>
      <w:r w:rsidRPr="00321374">
        <w:rPr>
          <w:color w:val="231F20"/>
          <w:sz w:val="20"/>
          <w:szCs w:val="20"/>
          <w:lang w:val="en-US"/>
        </w:rPr>
        <w:t xml:space="preserve"> concepts linked to the creation of dance; however, it is more difficult to observe the same from the perspective of different types of audiovisual production</w:t>
      </w:r>
      <w:r w:rsidR="00BC51E3" w:rsidRPr="00321374">
        <w:rPr>
          <w:color w:val="231F20"/>
          <w:sz w:val="20"/>
          <w:szCs w:val="20"/>
          <w:lang w:val="en-US"/>
        </w:rPr>
        <w:t xml:space="preserve">. </w:t>
      </w:r>
    </w:p>
    <w:p w14:paraId="01FBC31A"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5BD8179D" w14:textId="5D49ABF2" w:rsidR="00BC51E3" w:rsidRPr="00321374" w:rsidRDefault="00FA21F5"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As we have seen in the analysis of the characteristics of screendance works in comparison with various products that incorporate dance or choreographed movement, we cannot identify a single </w:t>
      </w:r>
      <w:r w:rsidR="00C47B35">
        <w:rPr>
          <w:color w:val="231F20"/>
          <w:sz w:val="20"/>
          <w:szCs w:val="20"/>
          <w:lang w:val="en-US"/>
        </w:rPr>
        <w:t>audiovisual work</w:t>
      </w:r>
      <w:r w:rsidRPr="00321374">
        <w:rPr>
          <w:color w:val="231F20"/>
          <w:sz w:val="20"/>
          <w:szCs w:val="20"/>
          <w:lang w:val="en-US"/>
        </w:rPr>
        <w:t xml:space="preserve"> </w:t>
      </w:r>
      <w:r w:rsidR="00C47B35">
        <w:rPr>
          <w:color w:val="231F20"/>
          <w:sz w:val="20"/>
          <w:szCs w:val="20"/>
          <w:lang w:val="en-US"/>
        </w:rPr>
        <w:t xml:space="preserve">form </w:t>
      </w:r>
      <w:r w:rsidRPr="00321374">
        <w:rPr>
          <w:color w:val="231F20"/>
          <w:sz w:val="20"/>
          <w:szCs w:val="20"/>
          <w:lang w:val="en-US"/>
        </w:rPr>
        <w:t>that can be considered the sole precursor of this type of audiovisual text. This is largely because screendance works take shape as autonomous products within the framework of postmodernism and, therefore, can draw on a wide range of influences</w:t>
      </w:r>
      <w:r w:rsidR="00BC51E3" w:rsidRPr="00321374">
        <w:rPr>
          <w:color w:val="231F20"/>
          <w:sz w:val="20"/>
          <w:szCs w:val="20"/>
          <w:lang w:val="en-US"/>
        </w:rPr>
        <w:t xml:space="preserve">. </w:t>
      </w:r>
    </w:p>
    <w:p w14:paraId="4FEF2A7A"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0C0ED2F5" w14:textId="0B7DE634" w:rsidR="00BC51E3" w:rsidRPr="00321374" w:rsidRDefault="00321374"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t xml:space="preserve">We have found that the possible </w:t>
      </w:r>
      <w:r w:rsidR="00C47B35">
        <w:rPr>
          <w:color w:val="231F20"/>
          <w:sz w:val="20"/>
          <w:szCs w:val="20"/>
          <w:lang w:val="en-US"/>
        </w:rPr>
        <w:t xml:space="preserve">audiovisual </w:t>
      </w:r>
      <w:r w:rsidRPr="00321374">
        <w:rPr>
          <w:color w:val="231F20"/>
          <w:sz w:val="20"/>
          <w:szCs w:val="20"/>
          <w:lang w:val="en-US"/>
        </w:rPr>
        <w:t>influences on screendance from are as follows</w:t>
      </w:r>
      <w:r w:rsidR="00BC51E3" w:rsidRPr="00321374">
        <w:rPr>
          <w:color w:val="231F20"/>
          <w:sz w:val="20"/>
          <w:szCs w:val="20"/>
          <w:lang w:val="en-US"/>
        </w:rPr>
        <w:t>:</w:t>
      </w:r>
    </w:p>
    <w:p w14:paraId="3DAE7C49"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2FBFAA37" w14:textId="1BD039A5" w:rsidR="00BC51E3" w:rsidRPr="00321374" w:rsidRDefault="00321374" w:rsidP="00BC51E3">
      <w:pPr>
        <w:pStyle w:val="Prrafodelista"/>
        <w:widowControl/>
        <w:numPr>
          <w:ilvl w:val="0"/>
          <w:numId w:val="7"/>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Commercial fiction cinema and the musical film, structured around the classical three-act narrative model, have influenced screendance by fostering the creation of works that follow this traditional structure grounded in cinematic praxis. Rather than relying on actors and dialogue, these works construct their narrative through choreography, using movement as the primary expressive vehicle</w:t>
      </w:r>
      <w:r w:rsidR="00BC51E3" w:rsidRPr="00321374">
        <w:rPr>
          <w:rFonts w:ascii="Garamond" w:hAnsi="Garamond"/>
          <w:color w:val="231F20"/>
          <w:sz w:val="20"/>
          <w:szCs w:val="20"/>
          <w:lang w:val="en-US"/>
        </w:rPr>
        <w:t xml:space="preserve">. </w:t>
      </w:r>
    </w:p>
    <w:p w14:paraId="66F1D612" w14:textId="5EE98A6B" w:rsidR="00BC51E3" w:rsidRPr="00321374" w:rsidRDefault="00321374" w:rsidP="00BC51E3">
      <w:pPr>
        <w:pStyle w:val="Prrafodelista"/>
        <w:widowControl/>
        <w:numPr>
          <w:ilvl w:val="0"/>
          <w:numId w:val="7"/>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Experimental and avant-garde cinema, focused on distancing itself from the constraints of commercial fiction cinema, has contributed to the formation of screendance by offering possibilities for moving away from narrative while exploring choreographed movement at the level of the concept itself. This allows experimentation with the possibilities of image manipulation, from recording through post-production processes</w:t>
      </w:r>
      <w:r w:rsidR="00BC51E3" w:rsidRPr="00321374">
        <w:rPr>
          <w:rFonts w:ascii="Garamond" w:hAnsi="Garamond"/>
          <w:color w:val="231F20"/>
          <w:sz w:val="20"/>
          <w:szCs w:val="20"/>
          <w:lang w:val="en-US"/>
        </w:rPr>
        <w:t xml:space="preserve">. </w:t>
      </w:r>
    </w:p>
    <w:p w14:paraId="66AE656D" w14:textId="50E0B532" w:rsidR="00BC51E3" w:rsidRPr="00321374" w:rsidRDefault="00321374" w:rsidP="00BC51E3">
      <w:pPr>
        <w:pStyle w:val="Prrafodelista"/>
        <w:widowControl/>
        <w:numPr>
          <w:ilvl w:val="0"/>
          <w:numId w:val="7"/>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 xml:space="preserve">Video art works, which, like experimental or avant-garde cinema, seek to distance themselves from the prevailing commercial praxis of both cinema and television, while adding new possibilities for image manipulation, have contributed to </w:t>
      </w:r>
      <w:proofErr w:type="spellStart"/>
      <w:r w:rsidRPr="00321374">
        <w:rPr>
          <w:rFonts w:ascii="Garamond" w:hAnsi="Garamond"/>
          <w:color w:val="231F20"/>
          <w:sz w:val="20"/>
          <w:szCs w:val="20"/>
          <w:lang w:val="en-US"/>
        </w:rPr>
        <w:t>screendance’s</w:t>
      </w:r>
      <w:proofErr w:type="spellEnd"/>
      <w:r w:rsidRPr="00321374">
        <w:rPr>
          <w:rFonts w:ascii="Garamond" w:hAnsi="Garamond"/>
          <w:color w:val="231F20"/>
          <w:sz w:val="20"/>
          <w:szCs w:val="20"/>
          <w:lang w:val="en-US"/>
        </w:rPr>
        <w:t xml:space="preserve"> continued exploration of the experimental potential of concepts through the audiovisual format</w:t>
      </w:r>
      <w:r w:rsidR="00BC51E3" w:rsidRPr="00321374">
        <w:rPr>
          <w:rFonts w:ascii="Garamond" w:hAnsi="Garamond"/>
          <w:color w:val="231F20"/>
          <w:sz w:val="20"/>
          <w:szCs w:val="20"/>
          <w:lang w:val="en-US"/>
        </w:rPr>
        <w:t>.</w:t>
      </w:r>
    </w:p>
    <w:p w14:paraId="4B75EE39" w14:textId="7AF81F83" w:rsidR="00BC51E3" w:rsidRPr="00321374" w:rsidRDefault="00321374" w:rsidP="00BC51E3">
      <w:pPr>
        <w:pStyle w:val="Prrafodelista"/>
        <w:widowControl/>
        <w:numPr>
          <w:ilvl w:val="0"/>
          <w:numId w:val="7"/>
        </w:numPr>
        <w:pBdr>
          <w:top w:val="nil"/>
          <w:left w:val="nil"/>
          <w:bottom w:val="nil"/>
          <w:right w:val="nil"/>
          <w:between w:val="nil"/>
        </w:pBdr>
        <w:spacing w:after="80"/>
        <w:ind w:right="370"/>
        <w:jc w:val="both"/>
        <w:rPr>
          <w:rFonts w:ascii="Garamond" w:hAnsi="Garamond"/>
          <w:color w:val="231F20"/>
          <w:sz w:val="20"/>
          <w:szCs w:val="20"/>
          <w:lang w:val="en-US"/>
        </w:rPr>
      </w:pPr>
      <w:r w:rsidRPr="00321374">
        <w:rPr>
          <w:rFonts w:ascii="Garamond" w:hAnsi="Garamond"/>
          <w:color w:val="231F20"/>
          <w:sz w:val="20"/>
          <w:szCs w:val="20"/>
          <w:lang w:val="en-US"/>
        </w:rPr>
        <w:t>Video performance influences screendance by supporting the idea of the performer as both subject and object of art, enabling the creation of works that study and analyze the camera/body relationship or bodily action</w:t>
      </w:r>
      <w:r w:rsidR="00BC51E3" w:rsidRPr="00321374">
        <w:rPr>
          <w:rFonts w:ascii="Garamond" w:hAnsi="Garamond"/>
          <w:color w:val="231F20"/>
          <w:sz w:val="20"/>
          <w:szCs w:val="20"/>
          <w:lang w:val="en-US"/>
        </w:rPr>
        <w:t>.</w:t>
      </w:r>
    </w:p>
    <w:p w14:paraId="617603CF" w14:textId="77777777" w:rsidR="00BC51E3" w:rsidRPr="00321374" w:rsidRDefault="00BC51E3" w:rsidP="00BC51E3">
      <w:pPr>
        <w:widowControl/>
        <w:pBdr>
          <w:top w:val="nil"/>
          <w:left w:val="nil"/>
          <w:bottom w:val="nil"/>
          <w:right w:val="nil"/>
          <w:between w:val="nil"/>
        </w:pBdr>
        <w:spacing w:after="80"/>
        <w:ind w:left="426" w:right="370"/>
        <w:jc w:val="both"/>
        <w:rPr>
          <w:color w:val="231F20"/>
          <w:sz w:val="20"/>
          <w:szCs w:val="20"/>
          <w:lang w:val="en-US"/>
        </w:rPr>
      </w:pPr>
    </w:p>
    <w:p w14:paraId="00000035" w14:textId="6919C4D8" w:rsidR="00FB42D9" w:rsidRPr="00321374" w:rsidRDefault="00321374" w:rsidP="00BC51E3">
      <w:pPr>
        <w:widowControl/>
        <w:pBdr>
          <w:top w:val="nil"/>
          <w:left w:val="nil"/>
          <w:bottom w:val="nil"/>
          <w:right w:val="nil"/>
          <w:between w:val="nil"/>
        </w:pBdr>
        <w:spacing w:after="80"/>
        <w:ind w:left="426" w:right="370"/>
        <w:jc w:val="both"/>
        <w:rPr>
          <w:color w:val="231F20"/>
          <w:sz w:val="20"/>
          <w:szCs w:val="20"/>
          <w:lang w:val="en-US"/>
        </w:rPr>
      </w:pPr>
      <w:r w:rsidRPr="00321374">
        <w:rPr>
          <w:color w:val="231F20"/>
          <w:sz w:val="20"/>
          <w:szCs w:val="20"/>
          <w:lang w:val="en-US"/>
        </w:rPr>
        <w:lastRenderedPageBreak/>
        <w:t>Music videos, produced in the postmodern era, also draw on elements characteristic of other audiovisual forms and therefore occupy a position similar to that of screendance. In this sense, the music video cannot be considered a precursor of this artistic genre, but rather its sibling</w:t>
      </w:r>
      <w:r w:rsidR="00BC51E3" w:rsidRPr="00321374">
        <w:rPr>
          <w:color w:val="231F20"/>
          <w:sz w:val="20"/>
          <w:szCs w:val="20"/>
          <w:lang w:val="en-US"/>
        </w:rPr>
        <w:t>.</w:t>
      </w:r>
    </w:p>
    <w:p w14:paraId="00000099" w14:textId="77777777" w:rsidR="00FB42D9" w:rsidRPr="00321374" w:rsidRDefault="00FB42D9">
      <w:pPr>
        <w:widowControl/>
        <w:pBdr>
          <w:top w:val="nil"/>
          <w:left w:val="nil"/>
          <w:bottom w:val="nil"/>
          <w:right w:val="nil"/>
          <w:between w:val="nil"/>
        </w:pBdr>
        <w:spacing w:after="80"/>
        <w:rPr>
          <w:color w:val="000000"/>
          <w:lang w:val="en-US"/>
        </w:rPr>
      </w:pPr>
    </w:p>
    <w:p w14:paraId="0000009A" w14:textId="77777777" w:rsidR="00FB42D9" w:rsidRDefault="00000000">
      <w:pPr>
        <w:pStyle w:val="Ttulo1"/>
        <w:widowControl/>
        <w:numPr>
          <w:ilvl w:val="0"/>
          <w:numId w:val="3"/>
        </w:numPr>
        <w:spacing w:after="80"/>
        <w:rPr>
          <w:rFonts w:ascii="Garamond" w:eastAsia="Garamond" w:hAnsi="Garamond" w:cs="Garamond"/>
          <w:b/>
          <w:color w:val="98361E"/>
        </w:rPr>
      </w:pPr>
      <w:r>
        <w:rPr>
          <w:rFonts w:ascii="Garamond" w:eastAsia="Garamond" w:hAnsi="Garamond" w:cs="Garamond"/>
          <w:b/>
          <w:color w:val="98361E"/>
        </w:rPr>
        <w:t>Bibliografía</w:t>
      </w:r>
    </w:p>
    <w:p w14:paraId="0000009B" w14:textId="77777777" w:rsidR="00FB42D9" w:rsidRDefault="00FB42D9">
      <w:pPr>
        <w:widowControl/>
        <w:pBdr>
          <w:top w:val="nil"/>
          <w:left w:val="nil"/>
          <w:bottom w:val="nil"/>
          <w:right w:val="nil"/>
          <w:between w:val="nil"/>
        </w:pBdr>
        <w:spacing w:after="80"/>
        <w:ind w:left="426" w:right="370"/>
        <w:jc w:val="both"/>
        <w:rPr>
          <w:color w:val="231F20"/>
          <w:sz w:val="20"/>
          <w:szCs w:val="20"/>
        </w:rPr>
      </w:pPr>
    </w:p>
    <w:p w14:paraId="1DABCA3E"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Albera, F. (2009). </w:t>
      </w:r>
      <w:r w:rsidRPr="00B45566">
        <w:rPr>
          <w:i/>
          <w:iCs/>
          <w:color w:val="231F20"/>
          <w:sz w:val="20"/>
          <w:szCs w:val="20"/>
        </w:rPr>
        <w:t>La vanguardia en el cine</w:t>
      </w:r>
      <w:r w:rsidRPr="00BC51E3">
        <w:rPr>
          <w:color w:val="231F20"/>
          <w:sz w:val="20"/>
          <w:szCs w:val="20"/>
        </w:rPr>
        <w:t>. Buenos Aires: Ediciones Manantial SRL.</w:t>
      </w:r>
    </w:p>
    <w:p w14:paraId="627A6072" w14:textId="1E26BE20"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it-IT"/>
        </w:rPr>
        <w:t xml:space="preserve">Alonso, R. (2007). Videoarte e videodança em um (in) certa América Latina. </w:t>
      </w:r>
      <w:r w:rsidRPr="00BC51E3">
        <w:rPr>
          <w:color w:val="231F20"/>
          <w:sz w:val="20"/>
          <w:szCs w:val="20"/>
        </w:rPr>
        <w:t xml:space="preserve">En E. Bonito, L. Brum </w:t>
      </w:r>
      <w:r w:rsidR="00514DF0">
        <w:rPr>
          <w:color w:val="231F20"/>
          <w:sz w:val="20"/>
          <w:szCs w:val="20"/>
        </w:rPr>
        <w:t xml:space="preserve">&amp; </w:t>
      </w:r>
      <w:r w:rsidRPr="00BC51E3">
        <w:rPr>
          <w:color w:val="231F20"/>
          <w:sz w:val="20"/>
          <w:szCs w:val="20"/>
        </w:rPr>
        <w:t xml:space="preserve">P. Caldas (Eds.), </w:t>
      </w:r>
      <w:proofErr w:type="spellStart"/>
      <w:r w:rsidRPr="00B45566">
        <w:rPr>
          <w:i/>
          <w:iCs/>
          <w:color w:val="231F20"/>
          <w:sz w:val="20"/>
          <w:szCs w:val="20"/>
        </w:rPr>
        <w:t>Dança</w:t>
      </w:r>
      <w:proofErr w:type="spellEnd"/>
      <w:r w:rsidRPr="00B45566">
        <w:rPr>
          <w:i/>
          <w:iCs/>
          <w:color w:val="231F20"/>
          <w:sz w:val="20"/>
          <w:szCs w:val="20"/>
        </w:rPr>
        <w:t xml:space="preserve"> em foco 2. </w:t>
      </w:r>
      <w:proofErr w:type="spellStart"/>
      <w:r w:rsidRPr="00B45566">
        <w:rPr>
          <w:i/>
          <w:iCs/>
          <w:color w:val="231F20"/>
          <w:sz w:val="20"/>
          <w:szCs w:val="20"/>
        </w:rPr>
        <w:t>Videodaça</w:t>
      </w:r>
      <w:proofErr w:type="spellEnd"/>
      <w:r w:rsidRPr="00BC51E3">
        <w:rPr>
          <w:color w:val="231F20"/>
          <w:sz w:val="20"/>
          <w:szCs w:val="20"/>
        </w:rPr>
        <w:t xml:space="preserve"> (pp. 47-49). Río de </w:t>
      </w:r>
      <w:proofErr w:type="spellStart"/>
      <w:r w:rsidRPr="00BC51E3">
        <w:rPr>
          <w:color w:val="231F20"/>
          <w:sz w:val="20"/>
          <w:szCs w:val="20"/>
        </w:rPr>
        <w:t>Janeriro</w:t>
      </w:r>
      <w:proofErr w:type="spellEnd"/>
      <w:r w:rsidRPr="00BC51E3">
        <w:rPr>
          <w:color w:val="231F20"/>
          <w:sz w:val="20"/>
          <w:szCs w:val="20"/>
        </w:rPr>
        <w:t xml:space="preserve">: </w:t>
      </w:r>
      <w:proofErr w:type="spellStart"/>
      <w:r w:rsidRPr="00BC51E3">
        <w:rPr>
          <w:color w:val="231F20"/>
          <w:sz w:val="20"/>
          <w:szCs w:val="20"/>
        </w:rPr>
        <w:t>Oi</w:t>
      </w:r>
      <w:proofErr w:type="spellEnd"/>
      <w:r w:rsidRPr="00BC51E3">
        <w:rPr>
          <w:color w:val="231F20"/>
          <w:sz w:val="20"/>
          <w:szCs w:val="20"/>
        </w:rPr>
        <w:t xml:space="preserve"> Futuro.</w:t>
      </w:r>
    </w:p>
    <w:p w14:paraId="0BD2F0E6"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Atienza Muñoz, P. (2013). </w:t>
      </w:r>
      <w:r w:rsidRPr="00B45566">
        <w:rPr>
          <w:i/>
          <w:iCs/>
          <w:color w:val="231F20"/>
          <w:sz w:val="20"/>
          <w:szCs w:val="20"/>
        </w:rPr>
        <w:t>Historia y evolución del montaje audiovisual. De la moviola a YouTube</w:t>
      </w:r>
      <w:r w:rsidRPr="00BC51E3">
        <w:rPr>
          <w:color w:val="231F20"/>
          <w:sz w:val="20"/>
          <w:szCs w:val="20"/>
        </w:rPr>
        <w:t>. Barcelona: Editorial UOC.</w:t>
      </w:r>
    </w:p>
    <w:p w14:paraId="36706838"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Aumont, J. (2016). </w:t>
      </w:r>
      <w:r w:rsidRPr="00B45566">
        <w:rPr>
          <w:i/>
          <w:iCs/>
          <w:color w:val="231F20"/>
          <w:sz w:val="20"/>
          <w:szCs w:val="20"/>
        </w:rPr>
        <w:t>Las teorías de los cineastas. La concepción del cine de los grandes directores (6ª impresión)</w:t>
      </w:r>
      <w:r w:rsidRPr="00BC51E3">
        <w:rPr>
          <w:color w:val="231F20"/>
          <w:sz w:val="20"/>
          <w:szCs w:val="20"/>
        </w:rPr>
        <w:t>. Barcelona: Paidós Comunicación, Espasa Libros, S.L.U.,</w:t>
      </w:r>
    </w:p>
    <w:p w14:paraId="115AFCD2"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rPr>
        <w:t xml:space="preserve">Baigorri, L. (2006). </w:t>
      </w:r>
      <w:r w:rsidRPr="00B45566">
        <w:rPr>
          <w:i/>
          <w:iCs/>
          <w:color w:val="231F20"/>
          <w:sz w:val="20"/>
          <w:szCs w:val="20"/>
        </w:rPr>
        <w:t>Vídeo: primera etapa. El vídeo en el contexto social y artístico de los años 60/70</w:t>
      </w:r>
      <w:r w:rsidRPr="00BC51E3">
        <w:rPr>
          <w:color w:val="231F20"/>
          <w:sz w:val="20"/>
          <w:szCs w:val="20"/>
        </w:rPr>
        <w:t xml:space="preserve">. </w:t>
      </w:r>
      <w:r w:rsidRPr="00BC51E3">
        <w:rPr>
          <w:color w:val="231F20"/>
          <w:sz w:val="20"/>
          <w:szCs w:val="20"/>
          <w:lang w:val="en-US"/>
        </w:rPr>
        <w:t xml:space="preserve">Madrid: </w:t>
      </w:r>
      <w:proofErr w:type="spellStart"/>
      <w:r w:rsidRPr="00BC51E3">
        <w:rPr>
          <w:color w:val="231F20"/>
          <w:sz w:val="20"/>
          <w:szCs w:val="20"/>
          <w:lang w:val="en-US"/>
        </w:rPr>
        <w:t>Brumaria</w:t>
      </w:r>
      <w:proofErr w:type="spellEnd"/>
      <w:r w:rsidRPr="00BC51E3">
        <w:rPr>
          <w:color w:val="231F20"/>
          <w:sz w:val="20"/>
          <w:szCs w:val="20"/>
          <w:lang w:val="en-US"/>
        </w:rPr>
        <w:t xml:space="preserve"> A.C.</w:t>
      </w:r>
    </w:p>
    <w:p w14:paraId="6AA1BAE9" w14:textId="1FDD14CD"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t xml:space="preserve">Bhabha, H. K. (2004). </w:t>
      </w:r>
      <w:r w:rsidRPr="00B45566">
        <w:rPr>
          <w:i/>
          <w:iCs/>
          <w:color w:val="231F20"/>
          <w:sz w:val="20"/>
          <w:szCs w:val="20"/>
          <w:lang w:val="en-US"/>
        </w:rPr>
        <w:t>The location of culture (2ª ed.)</w:t>
      </w:r>
      <w:r w:rsidRPr="00BC51E3">
        <w:rPr>
          <w:color w:val="231F20"/>
          <w:sz w:val="20"/>
          <w:szCs w:val="20"/>
          <w:lang w:val="en-US"/>
        </w:rPr>
        <w:t>. N</w:t>
      </w:r>
      <w:r w:rsidR="007C0977">
        <w:rPr>
          <w:color w:val="231F20"/>
          <w:sz w:val="20"/>
          <w:szCs w:val="20"/>
          <w:lang w:val="en-US"/>
        </w:rPr>
        <w:t>ew</w:t>
      </w:r>
      <w:r w:rsidRPr="00BC51E3">
        <w:rPr>
          <w:color w:val="231F20"/>
          <w:sz w:val="20"/>
          <w:szCs w:val="20"/>
          <w:lang w:val="en-US"/>
        </w:rPr>
        <w:t xml:space="preserve"> York: </w:t>
      </w:r>
      <w:r w:rsidR="007C0977" w:rsidRPr="00BC51E3">
        <w:rPr>
          <w:color w:val="231F20"/>
          <w:sz w:val="20"/>
          <w:szCs w:val="20"/>
          <w:lang w:val="en-US"/>
        </w:rPr>
        <w:t>Routledge</w:t>
      </w:r>
      <w:r w:rsidRPr="00BC51E3">
        <w:rPr>
          <w:color w:val="231F20"/>
          <w:sz w:val="20"/>
          <w:szCs w:val="20"/>
          <w:lang w:val="en-US"/>
        </w:rPr>
        <w:t>. Taylor and Francis Group.</w:t>
      </w:r>
    </w:p>
    <w:p w14:paraId="598C6671" w14:textId="64C2A4F0"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t xml:space="preserve">Billman, L. (2002). Music Video as Short Form Dance Film. En J. </w:t>
      </w:r>
      <w:proofErr w:type="spellStart"/>
      <w:r w:rsidRPr="00BC51E3">
        <w:rPr>
          <w:color w:val="231F20"/>
          <w:sz w:val="20"/>
          <w:szCs w:val="20"/>
          <w:lang w:val="en-US"/>
        </w:rPr>
        <w:t>Mitoma</w:t>
      </w:r>
      <w:proofErr w:type="spellEnd"/>
      <w:r w:rsidRPr="00BC51E3">
        <w:rPr>
          <w:color w:val="231F20"/>
          <w:sz w:val="20"/>
          <w:szCs w:val="20"/>
          <w:lang w:val="en-US"/>
        </w:rPr>
        <w:t xml:space="preserve"> (Ed.), </w:t>
      </w:r>
      <w:r w:rsidRPr="00B45566">
        <w:rPr>
          <w:i/>
          <w:iCs/>
          <w:color w:val="231F20"/>
          <w:sz w:val="20"/>
          <w:szCs w:val="20"/>
          <w:lang w:val="en-US"/>
        </w:rPr>
        <w:t>Envisioning dance on film and video</w:t>
      </w:r>
      <w:r w:rsidRPr="00BC51E3">
        <w:rPr>
          <w:color w:val="231F20"/>
          <w:sz w:val="20"/>
          <w:szCs w:val="20"/>
          <w:lang w:val="en-US"/>
        </w:rPr>
        <w:t xml:space="preserve"> (pp. 12-20). N</w:t>
      </w:r>
      <w:r w:rsidR="007C0977">
        <w:rPr>
          <w:color w:val="231F20"/>
          <w:sz w:val="20"/>
          <w:szCs w:val="20"/>
          <w:lang w:val="en-US"/>
        </w:rPr>
        <w:t>ew</w:t>
      </w:r>
      <w:r w:rsidRPr="00BC51E3">
        <w:rPr>
          <w:color w:val="231F20"/>
          <w:sz w:val="20"/>
          <w:szCs w:val="20"/>
          <w:lang w:val="en-US"/>
        </w:rPr>
        <w:t xml:space="preserve"> York: Routledge.</w:t>
      </w:r>
    </w:p>
    <w:p w14:paraId="7A42E92B" w14:textId="11A5A445"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t xml:space="preserve">Bordwell, D., Thompson, K. </w:t>
      </w:r>
      <w:r w:rsidR="00514DF0">
        <w:rPr>
          <w:color w:val="231F20"/>
          <w:sz w:val="20"/>
          <w:szCs w:val="20"/>
          <w:lang w:val="en-US"/>
        </w:rPr>
        <w:t>&amp;</w:t>
      </w:r>
      <w:r w:rsidRPr="00BC51E3">
        <w:rPr>
          <w:color w:val="231F20"/>
          <w:sz w:val="20"/>
          <w:szCs w:val="20"/>
          <w:lang w:val="en-US"/>
        </w:rPr>
        <w:t xml:space="preserve"> Smith, J. (2020). </w:t>
      </w:r>
      <w:r w:rsidRPr="00B45566">
        <w:rPr>
          <w:i/>
          <w:iCs/>
          <w:color w:val="231F20"/>
          <w:sz w:val="20"/>
          <w:szCs w:val="20"/>
          <w:lang w:val="en-US"/>
        </w:rPr>
        <w:t xml:space="preserve">Film art. An </w:t>
      </w:r>
      <w:r w:rsidR="00C47B35" w:rsidRPr="00B45566">
        <w:rPr>
          <w:i/>
          <w:iCs/>
          <w:color w:val="231F20"/>
          <w:sz w:val="20"/>
          <w:szCs w:val="20"/>
          <w:lang w:val="en-US"/>
        </w:rPr>
        <w:t>introduction</w:t>
      </w:r>
      <w:r w:rsidRPr="00B45566">
        <w:rPr>
          <w:i/>
          <w:iCs/>
          <w:color w:val="231F20"/>
          <w:sz w:val="20"/>
          <w:szCs w:val="20"/>
          <w:lang w:val="en-US"/>
        </w:rPr>
        <w:t xml:space="preserve"> (12ª ed.)</w:t>
      </w:r>
      <w:r w:rsidRPr="00BC51E3">
        <w:rPr>
          <w:color w:val="231F20"/>
          <w:sz w:val="20"/>
          <w:szCs w:val="20"/>
          <w:lang w:val="en-US"/>
        </w:rPr>
        <w:t>. N</w:t>
      </w:r>
      <w:r w:rsidR="007C0977">
        <w:rPr>
          <w:color w:val="231F20"/>
          <w:sz w:val="20"/>
          <w:szCs w:val="20"/>
          <w:lang w:val="en-US"/>
        </w:rPr>
        <w:t>ew</w:t>
      </w:r>
      <w:r w:rsidRPr="00BC51E3">
        <w:rPr>
          <w:color w:val="231F20"/>
          <w:sz w:val="20"/>
          <w:szCs w:val="20"/>
          <w:lang w:val="en-US"/>
        </w:rPr>
        <w:t xml:space="preserve"> York: McGraw-Hill Education.</w:t>
      </w:r>
    </w:p>
    <w:p w14:paraId="73F81AF1" w14:textId="43A25904"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Brum, L. (2019). Reflexiones sobre historia, concepto y curaduría de la videodanza. En X. Monroy Rocha </w:t>
      </w:r>
      <w:r w:rsidR="00514DF0">
        <w:rPr>
          <w:color w:val="231F20"/>
          <w:sz w:val="20"/>
          <w:szCs w:val="20"/>
        </w:rPr>
        <w:t>&amp;</w:t>
      </w:r>
      <w:r w:rsidRPr="00BC51E3">
        <w:rPr>
          <w:color w:val="231F20"/>
          <w:sz w:val="20"/>
          <w:szCs w:val="20"/>
        </w:rPr>
        <w:t xml:space="preserve"> P. Ruiz Carballido (Eds.), </w:t>
      </w:r>
      <w:r w:rsidRPr="00B45566">
        <w:rPr>
          <w:i/>
          <w:iCs/>
          <w:color w:val="231F20"/>
          <w:sz w:val="20"/>
          <w:szCs w:val="20"/>
        </w:rPr>
        <w:t>04 Curaduría en Videodanza</w:t>
      </w:r>
      <w:r w:rsidRPr="00BC51E3">
        <w:rPr>
          <w:color w:val="231F20"/>
          <w:sz w:val="20"/>
          <w:szCs w:val="20"/>
        </w:rPr>
        <w:t xml:space="preserve"> (pp. 24-75). Puebla: Universidad de las Américas, Puebla.</w:t>
      </w:r>
    </w:p>
    <w:p w14:paraId="102E875D" w14:textId="6D1F0BD9"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7C0977">
        <w:rPr>
          <w:color w:val="231F20"/>
          <w:sz w:val="20"/>
          <w:szCs w:val="20"/>
        </w:rPr>
        <w:t xml:space="preserve">Buckland, T. J. </w:t>
      </w:r>
      <w:r w:rsidR="00514DF0" w:rsidRPr="007C0977">
        <w:rPr>
          <w:color w:val="231F20"/>
          <w:sz w:val="20"/>
          <w:szCs w:val="20"/>
        </w:rPr>
        <w:t>&amp;</w:t>
      </w:r>
      <w:r w:rsidRPr="007C0977">
        <w:rPr>
          <w:color w:val="231F20"/>
          <w:sz w:val="20"/>
          <w:szCs w:val="20"/>
        </w:rPr>
        <w:t xml:space="preserve"> Stewart, E. (1993). </w:t>
      </w:r>
      <w:r w:rsidRPr="00BC51E3">
        <w:rPr>
          <w:color w:val="231F20"/>
          <w:sz w:val="20"/>
          <w:szCs w:val="20"/>
          <w:lang w:val="en-US"/>
        </w:rPr>
        <w:t xml:space="preserve">Some preliminary observations. Dance and music video. En S. Jordan y D. Allen (Eds.), </w:t>
      </w:r>
      <w:r w:rsidRPr="00B45566">
        <w:rPr>
          <w:i/>
          <w:iCs/>
          <w:color w:val="231F20"/>
          <w:sz w:val="20"/>
          <w:szCs w:val="20"/>
          <w:lang w:val="en-US"/>
        </w:rPr>
        <w:t xml:space="preserve">Parallel lines. Media </w:t>
      </w:r>
      <w:r w:rsidR="007C0977" w:rsidRPr="00B45566">
        <w:rPr>
          <w:i/>
          <w:iCs/>
          <w:color w:val="231F20"/>
          <w:sz w:val="20"/>
          <w:szCs w:val="20"/>
          <w:lang w:val="en-US"/>
        </w:rPr>
        <w:t>representations</w:t>
      </w:r>
      <w:r w:rsidRPr="00B45566">
        <w:rPr>
          <w:i/>
          <w:iCs/>
          <w:color w:val="231F20"/>
          <w:sz w:val="20"/>
          <w:szCs w:val="20"/>
          <w:lang w:val="en-US"/>
        </w:rPr>
        <w:t xml:space="preserve"> of dance</w:t>
      </w:r>
      <w:r w:rsidRPr="00BC51E3">
        <w:rPr>
          <w:color w:val="231F20"/>
          <w:sz w:val="20"/>
          <w:szCs w:val="20"/>
          <w:lang w:val="en-US"/>
        </w:rPr>
        <w:t xml:space="preserve"> (pp. 50-79). Lond</w:t>
      </w:r>
      <w:r w:rsidR="007C0977">
        <w:rPr>
          <w:color w:val="231F20"/>
          <w:sz w:val="20"/>
          <w:szCs w:val="20"/>
          <w:lang w:val="en-US"/>
        </w:rPr>
        <w:t>on</w:t>
      </w:r>
      <w:r w:rsidRPr="00BC51E3">
        <w:rPr>
          <w:color w:val="231F20"/>
          <w:sz w:val="20"/>
          <w:szCs w:val="20"/>
          <w:lang w:val="en-US"/>
        </w:rPr>
        <w:t>: John Libbey &amp; Company Ltd.</w:t>
      </w:r>
    </w:p>
    <w:p w14:paraId="640BBF58" w14:textId="166B7ACE"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en-US"/>
        </w:rPr>
        <w:t xml:space="preserve">Burt, R. (2006). </w:t>
      </w:r>
      <w:r w:rsidRPr="00B45566">
        <w:rPr>
          <w:i/>
          <w:iCs/>
          <w:color w:val="231F20"/>
          <w:sz w:val="20"/>
          <w:szCs w:val="20"/>
          <w:lang w:val="en-US"/>
        </w:rPr>
        <w:t>Judson Dance Theater. Performative traces</w:t>
      </w:r>
      <w:r w:rsidRPr="00BC51E3">
        <w:rPr>
          <w:color w:val="231F20"/>
          <w:sz w:val="20"/>
          <w:szCs w:val="20"/>
          <w:lang w:val="en-US"/>
        </w:rPr>
        <w:t>. N</w:t>
      </w:r>
      <w:r w:rsidR="007C0977">
        <w:rPr>
          <w:color w:val="231F20"/>
          <w:sz w:val="20"/>
          <w:szCs w:val="20"/>
          <w:lang w:val="en-US"/>
        </w:rPr>
        <w:t>ew</w:t>
      </w:r>
      <w:r w:rsidRPr="00BC51E3">
        <w:rPr>
          <w:color w:val="231F20"/>
          <w:sz w:val="20"/>
          <w:szCs w:val="20"/>
          <w:lang w:val="en-US"/>
        </w:rPr>
        <w:t xml:space="preserve"> York: Routledge. </w:t>
      </w:r>
      <w:r w:rsidRPr="00BC51E3">
        <w:rPr>
          <w:color w:val="231F20"/>
          <w:sz w:val="20"/>
          <w:szCs w:val="20"/>
        </w:rPr>
        <w:t xml:space="preserve">Taylor and Francis Group. </w:t>
      </w:r>
    </w:p>
    <w:p w14:paraId="31B87487"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Carmona, R. (2016). </w:t>
      </w:r>
      <w:r w:rsidRPr="00B45566">
        <w:rPr>
          <w:i/>
          <w:iCs/>
          <w:color w:val="231F20"/>
          <w:sz w:val="20"/>
          <w:szCs w:val="20"/>
        </w:rPr>
        <w:t>Cómo se comenta un texto fílmico (7ª ed.)</w:t>
      </w:r>
      <w:r w:rsidRPr="00BC51E3">
        <w:rPr>
          <w:color w:val="231F20"/>
          <w:sz w:val="20"/>
          <w:szCs w:val="20"/>
        </w:rPr>
        <w:t>. Madrid: Ediciones Cátedra (Grupo Anaya, S.A.).</w:t>
      </w:r>
    </w:p>
    <w:p w14:paraId="0C5B258E" w14:textId="0D4CD14E"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it-IT"/>
        </w:rPr>
        <w:t>Casetti, F.</w:t>
      </w:r>
      <w:r w:rsidR="00C47B35">
        <w:rPr>
          <w:color w:val="231F20"/>
          <w:sz w:val="20"/>
          <w:szCs w:val="20"/>
          <w:lang w:val="it-IT"/>
        </w:rPr>
        <w:t xml:space="preserve"> </w:t>
      </w:r>
      <w:r w:rsidR="00514DF0">
        <w:rPr>
          <w:color w:val="231F20"/>
          <w:sz w:val="20"/>
          <w:szCs w:val="20"/>
          <w:lang w:val="it-IT"/>
        </w:rPr>
        <w:t>&amp;</w:t>
      </w:r>
      <w:r w:rsidRPr="00BC51E3">
        <w:rPr>
          <w:color w:val="231F20"/>
          <w:sz w:val="20"/>
          <w:szCs w:val="20"/>
          <w:lang w:val="it-IT"/>
        </w:rPr>
        <w:t xml:space="preserve"> Di Chio, F. (2017). </w:t>
      </w:r>
      <w:r w:rsidRPr="00B45566">
        <w:rPr>
          <w:i/>
          <w:iCs/>
          <w:color w:val="231F20"/>
          <w:sz w:val="20"/>
          <w:szCs w:val="20"/>
        </w:rPr>
        <w:t>Cómo analizar un film (11ª reimpresión)</w:t>
      </w:r>
      <w:r w:rsidRPr="00BC51E3">
        <w:rPr>
          <w:color w:val="231F20"/>
          <w:sz w:val="20"/>
          <w:szCs w:val="20"/>
        </w:rPr>
        <w:t>. Barcelona: Espasa Libros, S.L.U.</w:t>
      </w:r>
    </w:p>
    <w:p w14:paraId="1FBC6924" w14:textId="5BFDC762"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it-IT"/>
        </w:rPr>
      </w:pPr>
      <w:proofErr w:type="spellStart"/>
      <w:r w:rsidRPr="00BC51E3">
        <w:rPr>
          <w:color w:val="231F20"/>
          <w:sz w:val="20"/>
          <w:szCs w:val="20"/>
        </w:rPr>
        <w:t>Celant</w:t>
      </w:r>
      <w:proofErr w:type="spellEnd"/>
      <w:r w:rsidRPr="00BC51E3">
        <w:rPr>
          <w:color w:val="231F20"/>
          <w:sz w:val="20"/>
          <w:szCs w:val="20"/>
        </w:rPr>
        <w:t xml:space="preserve">, G. (1999). Merce Cunningham y John Cage. </w:t>
      </w:r>
      <w:r w:rsidRPr="00BC51E3">
        <w:rPr>
          <w:color w:val="231F20"/>
          <w:sz w:val="20"/>
          <w:szCs w:val="20"/>
          <w:lang w:val="it-IT"/>
        </w:rPr>
        <w:t xml:space="preserve">En G. Celant (Ed.), </w:t>
      </w:r>
      <w:r w:rsidRPr="00B45566">
        <w:rPr>
          <w:i/>
          <w:iCs/>
          <w:color w:val="231F20"/>
          <w:sz w:val="20"/>
          <w:szCs w:val="20"/>
          <w:lang w:val="it-IT"/>
        </w:rPr>
        <w:t>Merce Cunningham</w:t>
      </w:r>
      <w:r w:rsidRPr="00BC51E3">
        <w:rPr>
          <w:color w:val="231F20"/>
          <w:sz w:val="20"/>
          <w:szCs w:val="20"/>
          <w:lang w:val="it-IT"/>
        </w:rPr>
        <w:t xml:space="preserve"> (pp. 70-80). Mil</w:t>
      </w:r>
      <w:r w:rsidR="007C0977">
        <w:rPr>
          <w:color w:val="231F20"/>
          <w:sz w:val="20"/>
          <w:szCs w:val="20"/>
          <w:lang w:val="it-IT"/>
        </w:rPr>
        <w:t>a</w:t>
      </w:r>
      <w:r w:rsidRPr="00BC51E3">
        <w:rPr>
          <w:color w:val="231F20"/>
          <w:sz w:val="20"/>
          <w:szCs w:val="20"/>
          <w:lang w:val="it-IT"/>
        </w:rPr>
        <w:t>n: Edizioni Charta.</w:t>
      </w:r>
    </w:p>
    <w:p w14:paraId="1A1A5888" w14:textId="222041DB" w:rsidR="00BC51E3" w:rsidRPr="007C0977"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F605A0">
        <w:rPr>
          <w:color w:val="231F20"/>
          <w:sz w:val="20"/>
          <w:szCs w:val="20"/>
          <w:lang w:val="en-US"/>
        </w:rPr>
        <w:t xml:space="preserve">Curtis, D. (2021). </w:t>
      </w:r>
      <w:r w:rsidRPr="00F605A0">
        <w:rPr>
          <w:i/>
          <w:iCs/>
          <w:color w:val="231F20"/>
          <w:sz w:val="20"/>
          <w:szCs w:val="20"/>
          <w:lang w:val="en-US"/>
        </w:rPr>
        <w:t>Artists’ films</w:t>
      </w:r>
      <w:r w:rsidRPr="00F605A0">
        <w:rPr>
          <w:color w:val="231F20"/>
          <w:sz w:val="20"/>
          <w:szCs w:val="20"/>
          <w:lang w:val="en-US"/>
        </w:rPr>
        <w:t xml:space="preserve">. </w:t>
      </w:r>
      <w:r w:rsidRPr="007C0977">
        <w:rPr>
          <w:color w:val="231F20"/>
          <w:sz w:val="20"/>
          <w:szCs w:val="20"/>
          <w:lang w:val="en-US"/>
        </w:rPr>
        <w:t>Lond</w:t>
      </w:r>
      <w:r w:rsidR="007C0977" w:rsidRPr="007C0977">
        <w:rPr>
          <w:color w:val="231F20"/>
          <w:sz w:val="20"/>
          <w:szCs w:val="20"/>
          <w:lang w:val="en-US"/>
        </w:rPr>
        <w:t>on</w:t>
      </w:r>
      <w:r w:rsidRPr="007C0977">
        <w:rPr>
          <w:color w:val="231F20"/>
          <w:sz w:val="20"/>
          <w:szCs w:val="20"/>
          <w:lang w:val="en-US"/>
        </w:rPr>
        <w:t xml:space="preserve">: Thames </w:t>
      </w:r>
      <w:r w:rsidR="007C0977">
        <w:rPr>
          <w:color w:val="231F20"/>
          <w:sz w:val="20"/>
          <w:szCs w:val="20"/>
          <w:lang w:val="en-US"/>
        </w:rPr>
        <w:t>&amp;</w:t>
      </w:r>
      <w:r w:rsidRPr="007C0977">
        <w:rPr>
          <w:color w:val="231F20"/>
          <w:sz w:val="20"/>
          <w:szCs w:val="20"/>
          <w:lang w:val="en-US"/>
        </w:rPr>
        <w:t xml:space="preserve"> Hudson Inc.</w:t>
      </w:r>
    </w:p>
    <w:p w14:paraId="7FC313B2"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Dallal, A. (1996). </w:t>
      </w:r>
      <w:r w:rsidRPr="00B45566">
        <w:rPr>
          <w:i/>
          <w:iCs/>
          <w:color w:val="231F20"/>
          <w:sz w:val="20"/>
          <w:szCs w:val="20"/>
        </w:rPr>
        <w:t>Cómo acercarse a la danza</w:t>
      </w:r>
      <w:r w:rsidRPr="00BC51E3">
        <w:rPr>
          <w:color w:val="231F20"/>
          <w:sz w:val="20"/>
          <w:szCs w:val="20"/>
        </w:rPr>
        <w:t xml:space="preserve">. México: Plaza y Valdés Editores. </w:t>
      </w:r>
    </w:p>
    <w:p w14:paraId="79D7A000" w14:textId="425D387C"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t xml:space="preserve">Dixon, S. (2015). </w:t>
      </w:r>
      <w:r w:rsidRPr="00B45566">
        <w:rPr>
          <w:i/>
          <w:iCs/>
          <w:color w:val="231F20"/>
          <w:sz w:val="20"/>
          <w:szCs w:val="20"/>
          <w:lang w:val="en-US"/>
        </w:rPr>
        <w:t>Digital performance. A history of new media in theater, dance, performance art, and installation</w:t>
      </w:r>
      <w:r w:rsidRPr="00BC51E3">
        <w:rPr>
          <w:color w:val="231F20"/>
          <w:sz w:val="20"/>
          <w:szCs w:val="20"/>
          <w:lang w:val="en-US"/>
        </w:rPr>
        <w:t>. Lond</w:t>
      </w:r>
      <w:r w:rsidR="007C0977">
        <w:rPr>
          <w:color w:val="231F20"/>
          <w:sz w:val="20"/>
          <w:szCs w:val="20"/>
          <w:lang w:val="en-US"/>
        </w:rPr>
        <w:t>on</w:t>
      </w:r>
      <w:r w:rsidRPr="00BC51E3">
        <w:rPr>
          <w:color w:val="231F20"/>
          <w:sz w:val="20"/>
          <w:szCs w:val="20"/>
          <w:lang w:val="en-US"/>
        </w:rPr>
        <w:t>:</w:t>
      </w:r>
      <w:r w:rsidR="00C47B35">
        <w:rPr>
          <w:color w:val="231F20"/>
          <w:sz w:val="20"/>
          <w:szCs w:val="20"/>
          <w:lang w:val="en-US"/>
        </w:rPr>
        <w:t xml:space="preserve"> </w:t>
      </w:r>
      <w:r w:rsidRPr="00BC51E3">
        <w:rPr>
          <w:color w:val="231F20"/>
          <w:sz w:val="20"/>
          <w:szCs w:val="20"/>
          <w:lang w:val="en-US"/>
        </w:rPr>
        <w:t>M</w:t>
      </w:r>
      <w:r w:rsidR="00C47B35">
        <w:rPr>
          <w:color w:val="231F20"/>
          <w:sz w:val="20"/>
          <w:szCs w:val="20"/>
          <w:lang w:val="en-US"/>
        </w:rPr>
        <w:t>IT</w:t>
      </w:r>
      <w:r w:rsidRPr="00BC51E3">
        <w:rPr>
          <w:color w:val="231F20"/>
          <w:sz w:val="20"/>
          <w:szCs w:val="20"/>
          <w:lang w:val="en-US"/>
        </w:rPr>
        <w:t xml:space="preserve"> Press.</w:t>
      </w:r>
    </w:p>
    <w:p w14:paraId="60222871" w14:textId="23F59742"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en-US"/>
        </w:rPr>
        <w:lastRenderedPageBreak/>
        <w:t xml:space="preserve">Dodds, S. (2004). </w:t>
      </w:r>
      <w:r w:rsidRPr="00B45566">
        <w:rPr>
          <w:i/>
          <w:iCs/>
          <w:color w:val="231F20"/>
          <w:sz w:val="20"/>
          <w:szCs w:val="20"/>
          <w:lang w:val="en-US"/>
        </w:rPr>
        <w:t>Dance on screen. Genres and media from Hollywood to experimental art</w:t>
      </w:r>
      <w:r w:rsidRPr="00BC51E3">
        <w:rPr>
          <w:color w:val="231F20"/>
          <w:sz w:val="20"/>
          <w:szCs w:val="20"/>
          <w:lang w:val="en-US"/>
        </w:rPr>
        <w:t xml:space="preserve">. </w:t>
      </w:r>
      <w:r w:rsidRPr="00BC51E3">
        <w:rPr>
          <w:color w:val="231F20"/>
          <w:sz w:val="20"/>
          <w:szCs w:val="20"/>
        </w:rPr>
        <w:t>N</w:t>
      </w:r>
      <w:r w:rsidR="007C0977">
        <w:rPr>
          <w:color w:val="231F20"/>
          <w:sz w:val="20"/>
          <w:szCs w:val="20"/>
        </w:rPr>
        <w:t>ew</w:t>
      </w:r>
      <w:r w:rsidRPr="00BC51E3">
        <w:rPr>
          <w:color w:val="231F20"/>
          <w:sz w:val="20"/>
          <w:szCs w:val="20"/>
        </w:rPr>
        <w:t xml:space="preserve"> York: </w:t>
      </w:r>
      <w:proofErr w:type="spellStart"/>
      <w:r w:rsidRPr="00BC51E3">
        <w:rPr>
          <w:color w:val="231F20"/>
          <w:sz w:val="20"/>
          <w:szCs w:val="20"/>
        </w:rPr>
        <w:t>Palgrave</w:t>
      </w:r>
      <w:proofErr w:type="spellEnd"/>
      <w:r w:rsidRPr="00BC51E3">
        <w:rPr>
          <w:color w:val="231F20"/>
          <w:sz w:val="20"/>
          <w:szCs w:val="20"/>
        </w:rPr>
        <w:t xml:space="preserve"> Macmillan. </w:t>
      </w:r>
    </w:p>
    <w:p w14:paraId="19766E6A" w14:textId="2CC93C2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Edgar, R., Marland, J. </w:t>
      </w:r>
      <w:r w:rsidR="00514DF0">
        <w:rPr>
          <w:color w:val="231F20"/>
          <w:sz w:val="20"/>
          <w:szCs w:val="20"/>
        </w:rPr>
        <w:t>&amp;</w:t>
      </w:r>
      <w:r w:rsidRPr="00BC51E3">
        <w:rPr>
          <w:color w:val="231F20"/>
          <w:sz w:val="20"/>
          <w:szCs w:val="20"/>
        </w:rPr>
        <w:t xml:space="preserve"> Rawle, S. (2016). </w:t>
      </w:r>
      <w:r w:rsidRPr="00B45566">
        <w:rPr>
          <w:i/>
          <w:iCs/>
          <w:color w:val="231F20"/>
          <w:sz w:val="20"/>
          <w:szCs w:val="20"/>
        </w:rPr>
        <w:t>El lenguaje cinematográfico</w:t>
      </w:r>
      <w:r w:rsidRPr="00BC51E3">
        <w:rPr>
          <w:color w:val="231F20"/>
          <w:sz w:val="20"/>
          <w:szCs w:val="20"/>
        </w:rPr>
        <w:t xml:space="preserve">. Barcelona: Parramón </w:t>
      </w:r>
      <w:proofErr w:type="spellStart"/>
      <w:r w:rsidRPr="00BC51E3">
        <w:rPr>
          <w:color w:val="231F20"/>
          <w:sz w:val="20"/>
          <w:szCs w:val="20"/>
        </w:rPr>
        <w:t>Paidotribo</w:t>
      </w:r>
      <w:proofErr w:type="spellEnd"/>
      <w:r w:rsidRPr="00BC51E3">
        <w:rPr>
          <w:color w:val="231F20"/>
          <w:sz w:val="20"/>
          <w:szCs w:val="20"/>
        </w:rPr>
        <w:t>.</w:t>
      </w:r>
    </w:p>
    <w:p w14:paraId="6F76998B"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Fernández Consuegra, C. B. (2016). </w:t>
      </w:r>
      <w:r w:rsidRPr="00B45566">
        <w:rPr>
          <w:i/>
          <w:iCs/>
          <w:color w:val="231F20"/>
          <w:sz w:val="20"/>
          <w:szCs w:val="20"/>
        </w:rPr>
        <w:t>Contemplando el performance art</w:t>
      </w:r>
      <w:r w:rsidRPr="00BC51E3">
        <w:rPr>
          <w:color w:val="231F20"/>
          <w:sz w:val="20"/>
          <w:szCs w:val="20"/>
        </w:rPr>
        <w:t>. Madrid: Ediciones Cumbres.</w:t>
      </w:r>
    </w:p>
    <w:p w14:paraId="33ED5CD0"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Fernández Consuegra, C. B. (2017</w:t>
      </w:r>
      <w:r w:rsidRPr="00B45566">
        <w:rPr>
          <w:i/>
          <w:iCs/>
          <w:color w:val="231F20"/>
          <w:sz w:val="20"/>
          <w:szCs w:val="20"/>
        </w:rPr>
        <w:t>). El cuerpo como sistema semiótico del performance art</w:t>
      </w:r>
      <w:r w:rsidRPr="00BC51E3">
        <w:rPr>
          <w:color w:val="231F20"/>
          <w:sz w:val="20"/>
          <w:szCs w:val="20"/>
        </w:rPr>
        <w:t xml:space="preserve">. Madrid: Fundación de la Danza "Alicia Alonso", Ediciones Cumbres. </w:t>
      </w:r>
    </w:p>
    <w:p w14:paraId="340E6005" w14:textId="34C11939"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Fernández Díez, F. </w:t>
      </w:r>
      <w:r w:rsidR="00514DF0">
        <w:rPr>
          <w:color w:val="231F20"/>
          <w:sz w:val="20"/>
          <w:szCs w:val="20"/>
        </w:rPr>
        <w:t>&amp;</w:t>
      </w:r>
      <w:r w:rsidRPr="00BC51E3">
        <w:rPr>
          <w:color w:val="231F20"/>
          <w:sz w:val="20"/>
          <w:szCs w:val="20"/>
        </w:rPr>
        <w:t xml:space="preserve"> Martínez Abadía, F. (2016). </w:t>
      </w:r>
      <w:r w:rsidRPr="00B45566">
        <w:rPr>
          <w:i/>
          <w:iCs/>
          <w:color w:val="231F20"/>
          <w:sz w:val="20"/>
          <w:szCs w:val="20"/>
        </w:rPr>
        <w:t>Manual básico de lenguaje y narrativa audiovisual (14ª ed.)</w:t>
      </w:r>
      <w:r w:rsidRPr="00BC51E3">
        <w:rPr>
          <w:color w:val="231F20"/>
          <w:sz w:val="20"/>
          <w:szCs w:val="20"/>
        </w:rPr>
        <w:t>. Barcelona: Espasa Libros, S.L.U.</w:t>
      </w:r>
    </w:p>
    <w:p w14:paraId="26866C18"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rPr>
        <w:t xml:space="preserve">Fernández Sánchez, M. C. (1997). </w:t>
      </w:r>
      <w:r w:rsidRPr="00B45566">
        <w:rPr>
          <w:i/>
          <w:iCs/>
          <w:color w:val="231F20"/>
          <w:sz w:val="20"/>
          <w:szCs w:val="20"/>
        </w:rPr>
        <w:t>Influencias del montaje en el lenguaje audiovisual</w:t>
      </w:r>
      <w:r w:rsidRPr="00BC51E3">
        <w:rPr>
          <w:color w:val="231F20"/>
          <w:sz w:val="20"/>
          <w:szCs w:val="20"/>
        </w:rPr>
        <w:t xml:space="preserve">. </w:t>
      </w:r>
      <w:r w:rsidRPr="00BC51E3">
        <w:rPr>
          <w:color w:val="231F20"/>
          <w:sz w:val="20"/>
          <w:szCs w:val="20"/>
          <w:lang w:val="en-US"/>
        </w:rPr>
        <w:t xml:space="preserve">Madrid: </w:t>
      </w:r>
      <w:proofErr w:type="spellStart"/>
      <w:r w:rsidRPr="00BC51E3">
        <w:rPr>
          <w:color w:val="231F20"/>
          <w:sz w:val="20"/>
          <w:szCs w:val="20"/>
          <w:lang w:val="en-US"/>
        </w:rPr>
        <w:t>Ediciones</w:t>
      </w:r>
      <w:proofErr w:type="spellEnd"/>
      <w:r w:rsidRPr="00BC51E3">
        <w:rPr>
          <w:color w:val="231F20"/>
          <w:sz w:val="20"/>
          <w:szCs w:val="20"/>
          <w:lang w:val="en-US"/>
        </w:rPr>
        <w:t xml:space="preserve"> </w:t>
      </w:r>
      <w:proofErr w:type="spellStart"/>
      <w:r w:rsidRPr="00BC51E3">
        <w:rPr>
          <w:color w:val="231F20"/>
          <w:sz w:val="20"/>
          <w:szCs w:val="20"/>
          <w:lang w:val="en-US"/>
        </w:rPr>
        <w:t>Libertarias</w:t>
      </w:r>
      <w:proofErr w:type="spellEnd"/>
      <w:r w:rsidRPr="00BC51E3">
        <w:rPr>
          <w:color w:val="231F20"/>
          <w:sz w:val="20"/>
          <w:szCs w:val="20"/>
          <w:lang w:val="en-US"/>
        </w:rPr>
        <w:t>/</w:t>
      </w:r>
      <w:proofErr w:type="spellStart"/>
      <w:r w:rsidRPr="00BC51E3">
        <w:rPr>
          <w:color w:val="231F20"/>
          <w:sz w:val="20"/>
          <w:szCs w:val="20"/>
          <w:lang w:val="en-US"/>
        </w:rPr>
        <w:t>Prodhifi</w:t>
      </w:r>
      <w:proofErr w:type="spellEnd"/>
      <w:r w:rsidRPr="00BC51E3">
        <w:rPr>
          <w:color w:val="231F20"/>
          <w:sz w:val="20"/>
          <w:szCs w:val="20"/>
          <w:lang w:val="en-US"/>
        </w:rPr>
        <w:t>, S.A.</w:t>
      </w:r>
    </w:p>
    <w:p w14:paraId="0DEDAB1D"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proofErr w:type="spellStart"/>
      <w:r w:rsidRPr="00BC51E3">
        <w:rPr>
          <w:color w:val="231F20"/>
          <w:sz w:val="20"/>
          <w:szCs w:val="20"/>
          <w:lang w:val="en-US"/>
        </w:rPr>
        <w:t>Giesekam</w:t>
      </w:r>
      <w:proofErr w:type="spellEnd"/>
      <w:r w:rsidRPr="00BC51E3">
        <w:rPr>
          <w:color w:val="231F20"/>
          <w:sz w:val="20"/>
          <w:szCs w:val="20"/>
          <w:lang w:val="en-US"/>
        </w:rPr>
        <w:t xml:space="preserve">, G. (2007). </w:t>
      </w:r>
      <w:r w:rsidRPr="00B45566">
        <w:rPr>
          <w:i/>
          <w:iCs/>
          <w:color w:val="231F20"/>
          <w:sz w:val="20"/>
          <w:szCs w:val="20"/>
          <w:lang w:val="en-US"/>
        </w:rPr>
        <w:t>Staging the screen. The use of film and video in theatre</w:t>
      </w:r>
      <w:r w:rsidRPr="00BC51E3">
        <w:rPr>
          <w:color w:val="231F20"/>
          <w:sz w:val="20"/>
          <w:szCs w:val="20"/>
          <w:lang w:val="en-US"/>
        </w:rPr>
        <w:t xml:space="preserve">. </w:t>
      </w:r>
      <w:r w:rsidRPr="00BC51E3">
        <w:rPr>
          <w:color w:val="231F20"/>
          <w:sz w:val="20"/>
          <w:szCs w:val="20"/>
        </w:rPr>
        <w:t xml:space="preserve">Nueva York: </w:t>
      </w:r>
      <w:proofErr w:type="spellStart"/>
      <w:r w:rsidRPr="00BC51E3">
        <w:rPr>
          <w:color w:val="231F20"/>
          <w:sz w:val="20"/>
          <w:szCs w:val="20"/>
        </w:rPr>
        <w:t>Palgrave</w:t>
      </w:r>
      <w:proofErr w:type="spellEnd"/>
      <w:r w:rsidRPr="00BC51E3">
        <w:rPr>
          <w:color w:val="231F20"/>
          <w:sz w:val="20"/>
          <w:szCs w:val="20"/>
        </w:rPr>
        <w:t xml:space="preserve"> Macmillan. </w:t>
      </w:r>
    </w:p>
    <w:p w14:paraId="71CA3B91" w14:textId="57065229"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Gómez Tarín, F.</w:t>
      </w:r>
      <w:r w:rsidR="00C47B35">
        <w:rPr>
          <w:color w:val="231F20"/>
          <w:sz w:val="20"/>
          <w:szCs w:val="20"/>
        </w:rPr>
        <w:t xml:space="preserve"> </w:t>
      </w:r>
      <w:r w:rsidRPr="00BC51E3">
        <w:rPr>
          <w:color w:val="231F20"/>
          <w:sz w:val="20"/>
          <w:szCs w:val="20"/>
        </w:rPr>
        <w:t xml:space="preserve">J. (2015). </w:t>
      </w:r>
      <w:r w:rsidRPr="00B45566">
        <w:rPr>
          <w:i/>
          <w:iCs/>
          <w:color w:val="231F20"/>
          <w:sz w:val="20"/>
          <w:szCs w:val="20"/>
        </w:rPr>
        <w:t>Elementos de narrativa audiovisual. Expresión y narración (2ªed.)</w:t>
      </w:r>
      <w:r w:rsidRPr="00BC51E3">
        <w:rPr>
          <w:color w:val="231F20"/>
          <w:sz w:val="20"/>
          <w:szCs w:val="20"/>
        </w:rPr>
        <w:t xml:space="preserve">. Santander: </w:t>
      </w:r>
      <w:proofErr w:type="spellStart"/>
      <w:r w:rsidRPr="00BC51E3">
        <w:rPr>
          <w:color w:val="231F20"/>
          <w:sz w:val="20"/>
          <w:szCs w:val="20"/>
        </w:rPr>
        <w:t>Shangrila</w:t>
      </w:r>
      <w:proofErr w:type="spellEnd"/>
      <w:r w:rsidRPr="00BC51E3">
        <w:rPr>
          <w:color w:val="231F20"/>
          <w:sz w:val="20"/>
          <w:szCs w:val="20"/>
        </w:rPr>
        <w:t xml:space="preserve"> Textos Aparte. </w:t>
      </w:r>
    </w:p>
    <w:p w14:paraId="765C272D" w14:textId="3CB1D0FF"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González, L. </w:t>
      </w:r>
      <w:r w:rsidR="00514DF0">
        <w:rPr>
          <w:color w:val="231F20"/>
          <w:sz w:val="20"/>
          <w:szCs w:val="20"/>
        </w:rPr>
        <w:t>&amp;</w:t>
      </w:r>
      <w:r w:rsidRPr="00BC51E3">
        <w:rPr>
          <w:color w:val="231F20"/>
          <w:sz w:val="20"/>
          <w:szCs w:val="20"/>
        </w:rPr>
        <w:t xml:space="preserve"> Monroy Rocha, X. (2019). Reflexiones en torno a los parámetros de apreciación y crítica en el ámbito de los festivales de videodanza en Latinoamérica. En X. Monroy Rocha y P. Ruiz Carballido (Eds.), </w:t>
      </w:r>
      <w:r w:rsidRPr="00B45566">
        <w:rPr>
          <w:i/>
          <w:iCs/>
          <w:color w:val="231F20"/>
          <w:sz w:val="20"/>
          <w:szCs w:val="20"/>
        </w:rPr>
        <w:t>04 Curaduría en videodanza</w:t>
      </w:r>
      <w:r w:rsidRPr="00BC51E3">
        <w:rPr>
          <w:color w:val="231F20"/>
          <w:sz w:val="20"/>
          <w:szCs w:val="20"/>
        </w:rPr>
        <w:t xml:space="preserve"> (pp. 128-160). Puebla: Universidad de las Américas, Puebla.</w:t>
      </w:r>
    </w:p>
    <w:p w14:paraId="4857F324"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rPr>
        <w:t xml:space="preserve">Jameson, F. (1990). </w:t>
      </w:r>
      <w:proofErr w:type="spellStart"/>
      <w:r w:rsidRPr="00B45566">
        <w:rPr>
          <w:i/>
          <w:iCs/>
          <w:color w:val="231F20"/>
          <w:sz w:val="20"/>
          <w:szCs w:val="20"/>
        </w:rPr>
        <w:t>Postmodernism</w:t>
      </w:r>
      <w:proofErr w:type="spellEnd"/>
      <w:r w:rsidRPr="00B45566">
        <w:rPr>
          <w:i/>
          <w:iCs/>
          <w:color w:val="231F20"/>
          <w:sz w:val="20"/>
          <w:szCs w:val="20"/>
        </w:rPr>
        <w:t xml:space="preserve">, </w:t>
      </w:r>
      <w:proofErr w:type="spellStart"/>
      <w:r w:rsidRPr="00B45566">
        <w:rPr>
          <w:i/>
          <w:iCs/>
          <w:color w:val="231F20"/>
          <w:sz w:val="20"/>
          <w:szCs w:val="20"/>
        </w:rPr>
        <w:t>or</w:t>
      </w:r>
      <w:proofErr w:type="spellEnd"/>
      <w:r w:rsidRPr="00B45566">
        <w:rPr>
          <w:i/>
          <w:iCs/>
          <w:color w:val="231F20"/>
          <w:sz w:val="20"/>
          <w:szCs w:val="20"/>
        </w:rPr>
        <w:t xml:space="preserve"> </w:t>
      </w:r>
      <w:proofErr w:type="spellStart"/>
      <w:r w:rsidRPr="00B45566">
        <w:rPr>
          <w:i/>
          <w:iCs/>
          <w:color w:val="231F20"/>
          <w:sz w:val="20"/>
          <w:szCs w:val="20"/>
        </w:rPr>
        <w:t>the</w:t>
      </w:r>
      <w:proofErr w:type="spellEnd"/>
      <w:r w:rsidRPr="00B45566">
        <w:rPr>
          <w:i/>
          <w:iCs/>
          <w:color w:val="231F20"/>
          <w:sz w:val="20"/>
          <w:szCs w:val="20"/>
        </w:rPr>
        <w:t xml:space="preserve"> cultural </w:t>
      </w:r>
      <w:proofErr w:type="spellStart"/>
      <w:r w:rsidRPr="00B45566">
        <w:rPr>
          <w:i/>
          <w:iCs/>
          <w:color w:val="231F20"/>
          <w:sz w:val="20"/>
          <w:szCs w:val="20"/>
        </w:rPr>
        <w:t>logic</w:t>
      </w:r>
      <w:proofErr w:type="spellEnd"/>
      <w:r w:rsidRPr="00B45566">
        <w:rPr>
          <w:i/>
          <w:iCs/>
          <w:color w:val="231F20"/>
          <w:sz w:val="20"/>
          <w:szCs w:val="20"/>
        </w:rPr>
        <w:t xml:space="preserve"> </w:t>
      </w:r>
      <w:proofErr w:type="spellStart"/>
      <w:r w:rsidRPr="00B45566">
        <w:rPr>
          <w:i/>
          <w:iCs/>
          <w:color w:val="231F20"/>
          <w:sz w:val="20"/>
          <w:szCs w:val="20"/>
        </w:rPr>
        <w:t>of</w:t>
      </w:r>
      <w:proofErr w:type="spellEnd"/>
      <w:r w:rsidRPr="00B45566">
        <w:rPr>
          <w:i/>
          <w:iCs/>
          <w:color w:val="231F20"/>
          <w:sz w:val="20"/>
          <w:szCs w:val="20"/>
        </w:rPr>
        <w:t xml:space="preserve"> </w:t>
      </w:r>
      <w:proofErr w:type="spellStart"/>
      <w:r w:rsidRPr="00B45566">
        <w:rPr>
          <w:i/>
          <w:iCs/>
          <w:color w:val="231F20"/>
          <w:sz w:val="20"/>
          <w:szCs w:val="20"/>
        </w:rPr>
        <w:t>capitalism</w:t>
      </w:r>
      <w:proofErr w:type="spellEnd"/>
      <w:r w:rsidRPr="00BC51E3">
        <w:rPr>
          <w:color w:val="231F20"/>
          <w:sz w:val="20"/>
          <w:szCs w:val="20"/>
        </w:rPr>
        <w:t xml:space="preserve">. </w:t>
      </w:r>
      <w:r w:rsidRPr="00BC51E3">
        <w:rPr>
          <w:color w:val="231F20"/>
          <w:sz w:val="20"/>
          <w:szCs w:val="20"/>
          <w:lang w:val="en-US"/>
        </w:rPr>
        <w:t xml:space="preserve">Durham: Duke University Press. </w:t>
      </w:r>
    </w:p>
    <w:p w14:paraId="7117876A"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t xml:space="preserve">Kappenberg, C. (2013). Film as Poetry. </w:t>
      </w:r>
      <w:r w:rsidRPr="00B45566">
        <w:rPr>
          <w:i/>
          <w:iCs/>
          <w:color w:val="231F20"/>
          <w:sz w:val="20"/>
          <w:szCs w:val="20"/>
          <w:lang w:val="en-US"/>
        </w:rPr>
        <w:t>The international journal of screendance</w:t>
      </w:r>
      <w:r w:rsidRPr="00BC51E3">
        <w:rPr>
          <w:color w:val="231F20"/>
          <w:sz w:val="20"/>
          <w:szCs w:val="20"/>
          <w:lang w:val="en-US"/>
        </w:rPr>
        <w:t xml:space="preserve"> 3, 101-119. https://doi.org/10.18061/ijsd.v3i0.5734.</w:t>
      </w:r>
    </w:p>
    <w:p w14:paraId="2EB2D775" w14:textId="6623F99F"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en-US"/>
        </w:rPr>
        <w:t xml:space="preserve">Lyotard, J.F. (1984). </w:t>
      </w:r>
      <w:r w:rsidRPr="00B45566">
        <w:rPr>
          <w:i/>
          <w:iCs/>
          <w:color w:val="231F20"/>
          <w:sz w:val="20"/>
          <w:szCs w:val="20"/>
          <w:lang w:val="en-US"/>
        </w:rPr>
        <w:t>The postmodern condition: a report on knowledge</w:t>
      </w:r>
      <w:r w:rsidRPr="00BC51E3">
        <w:rPr>
          <w:color w:val="231F20"/>
          <w:sz w:val="20"/>
          <w:szCs w:val="20"/>
          <w:lang w:val="en-US"/>
        </w:rPr>
        <w:t xml:space="preserve">. </w:t>
      </w:r>
      <w:r w:rsidRPr="00BC51E3">
        <w:rPr>
          <w:color w:val="231F20"/>
          <w:sz w:val="20"/>
          <w:szCs w:val="20"/>
        </w:rPr>
        <w:t xml:space="preserve">Manchester: Manchester </w:t>
      </w:r>
      <w:proofErr w:type="spellStart"/>
      <w:r w:rsidRPr="00BC51E3">
        <w:rPr>
          <w:color w:val="231F20"/>
          <w:sz w:val="20"/>
          <w:szCs w:val="20"/>
        </w:rPr>
        <w:t>University</w:t>
      </w:r>
      <w:proofErr w:type="spellEnd"/>
      <w:r w:rsidRPr="00BC51E3">
        <w:rPr>
          <w:color w:val="231F20"/>
          <w:sz w:val="20"/>
          <w:szCs w:val="20"/>
        </w:rPr>
        <w:t xml:space="preserve"> Press.</w:t>
      </w:r>
    </w:p>
    <w:p w14:paraId="1E00775A"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proofErr w:type="spellStart"/>
      <w:r w:rsidRPr="00BC51E3">
        <w:rPr>
          <w:color w:val="231F20"/>
          <w:sz w:val="20"/>
          <w:szCs w:val="20"/>
        </w:rPr>
        <w:t>Marimón</w:t>
      </w:r>
      <w:proofErr w:type="spellEnd"/>
      <w:r w:rsidRPr="00BC51E3">
        <w:rPr>
          <w:color w:val="231F20"/>
          <w:sz w:val="20"/>
          <w:szCs w:val="20"/>
        </w:rPr>
        <w:t xml:space="preserve">, J. (2014). </w:t>
      </w:r>
      <w:r w:rsidRPr="00B45566">
        <w:rPr>
          <w:i/>
          <w:iCs/>
          <w:color w:val="231F20"/>
          <w:sz w:val="20"/>
          <w:szCs w:val="20"/>
        </w:rPr>
        <w:t>El montaje cinematográfico</w:t>
      </w:r>
      <w:r w:rsidRPr="00BC51E3">
        <w:rPr>
          <w:color w:val="231F20"/>
          <w:sz w:val="20"/>
          <w:szCs w:val="20"/>
        </w:rPr>
        <w:t xml:space="preserve">. Barcelona: </w:t>
      </w:r>
      <w:proofErr w:type="spellStart"/>
      <w:r w:rsidRPr="00BC51E3">
        <w:rPr>
          <w:color w:val="231F20"/>
          <w:sz w:val="20"/>
          <w:szCs w:val="20"/>
        </w:rPr>
        <w:t>Edicions</w:t>
      </w:r>
      <w:proofErr w:type="spellEnd"/>
      <w:r w:rsidRPr="00BC51E3">
        <w:rPr>
          <w:color w:val="231F20"/>
          <w:sz w:val="20"/>
          <w:szCs w:val="20"/>
        </w:rPr>
        <w:t xml:space="preserve"> de la </w:t>
      </w:r>
      <w:proofErr w:type="spellStart"/>
      <w:r w:rsidRPr="00BC51E3">
        <w:rPr>
          <w:color w:val="231F20"/>
          <w:sz w:val="20"/>
          <w:szCs w:val="20"/>
        </w:rPr>
        <w:t>Universitat</w:t>
      </w:r>
      <w:proofErr w:type="spellEnd"/>
      <w:r w:rsidRPr="00BC51E3">
        <w:rPr>
          <w:color w:val="231F20"/>
          <w:sz w:val="20"/>
          <w:szCs w:val="20"/>
        </w:rPr>
        <w:t xml:space="preserve"> de Barcelona. </w:t>
      </w:r>
    </w:p>
    <w:p w14:paraId="12EF74FD" w14:textId="2FB04C48" w:rsidR="00BC51E3" w:rsidRPr="00F605A0" w:rsidRDefault="00BC51E3" w:rsidP="00BC51E3">
      <w:pPr>
        <w:widowControl/>
        <w:pBdr>
          <w:top w:val="nil"/>
          <w:left w:val="nil"/>
          <w:bottom w:val="nil"/>
          <w:right w:val="nil"/>
          <w:between w:val="nil"/>
        </w:pBdr>
        <w:spacing w:after="80"/>
        <w:ind w:left="426" w:right="370"/>
        <w:jc w:val="both"/>
        <w:rPr>
          <w:color w:val="231F20"/>
          <w:sz w:val="20"/>
          <w:szCs w:val="20"/>
          <w:lang w:val="de-DE"/>
        </w:rPr>
      </w:pPr>
      <w:r w:rsidRPr="00F605A0">
        <w:rPr>
          <w:color w:val="231F20"/>
          <w:sz w:val="20"/>
          <w:szCs w:val="20"/>
          <w:lang w:val="de-DE"/>
        </w:rPr>
        <w:t xml:space="preserve">Martin, S. (2006). </w:t>
      </w:r>
      <w:r w:rsidRPr="00F605A0">
        <w:rPr>
          <w:i/>
          <w:iCs/>
          <w:color w:val="231F20"/>
          <w:sz w:val="20"/>
          <w:szCs w:val="20"/>
          <w:lang w:val="de-DE"/>
        </w:rPr>
        <w:t>Videoarte</w:t>
      </w:r>
      <w:r w:rsidRPr="00F605A0">
        <w:rPr>
          <w:color w:val="231F20"/>
          <w:sz w:val="20"/>
          <w:szCs w:val="20"/>
          <w:lang w:val="de-DE"/>
        </w:rPr>
        <w:t xml:space="preserve">. </w:t>
      </w:r>
      <w:r w:rsidR="007C0977" w:rsidRPr="00F605A0">
        <w:rPr>
          <w:color w:val="231F20"/>
          <w:sz w:val="20"/>
          <w:szCs w:val="20"/>
          <w:lang w:val="de-DE"/>
        </w:rPr>
        <w:t>Klon</w:t>
      </w:r>
      <w:r w:rsidRPr="00F605A0">
        <w:rPr>
          <w:color w:val="231F20"/>
          <w:sz w:val="20"/>
          <w:szCs w:val="20"/>
          <w:lang w:val="de-DE"/>
        </w:rPr>
        <w:t>: Taschen.</w:t>
      </w:r>
    </w:p>
    <w:p w14:paraId="0767D7B8"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rPr>
        <w:t xml:space="preserve">Mitry, J. (1974). </w:t>
      </w:r>
      <w:r w:rsidRPr="00B45566">
        <w:rPr>
          <w:i/>
          <w:iCs/>
          <w:color w:val="231F20"/>
          <w:sz w:val="20"/>
          <w:szCs w:val="20"/>
        </w:rPr>
        <w:t>Historia del cine experimental</w:t>
      </w:r>
      <w:r w:rsidRPr="00BC51E3">
        <w:rPr>
          <w:color w:val="231F20"/>
          <w:sz w:val="20"/>
          <w:szCs w:val="20"/>
        </w:rPr>
        <w:t xml:space="preserve">. </w:t>
      </w:r>
      <w:r w:rsidRPr="00BC51E3">
        <w:rPr>
          <w:color w:val="231F20"/>
          <w:sz w:val="20"/>
          <w:szCs w:val="20"/>
          <w:lang w:val="en-US"/>
        </w:rPr>
        <w:t>Valencia: Fernando Torres Editor.</w:t>
      </w:r>
    </w:p>
    <w:p w14:paraId="35CB5E19" w14:textId="4DB375E8"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en-US"/>
        </w:rPr>
        <w:t xml:space="preserve">Monaco, J. (2000). </w:t>
      </w:r>
      <w:r w:rsidRPr="00B45566">
        <w:rPr>
          <w:i/>
          <w:iCs/>
          <w:color w:val="231F20"/>
          <w:sz w:val="20"/>
          <w:szCs w:val="20"/>
          <w:lang w:val="en-US"/>
        </w:rPr>
        <w:t>How to read a film. The world of movies, media and multimedia (3ª ed.)</w:t>
      </w:r>
      <w:r w:rsidRPr="00BC51E3">
        <w:rPr>
          <w:color w:val="231F20"/>
          <w:sz w:val="20"/>
          <w:szCs w:val="20"/>
          <w:lang w:val="en-US"/>
        </w:rPr>
        <w:t xml:space="preserve">. </w:t>
      </w:r>
      <w:r w:rsidRPr="00BC51E3">
        <w:rPr>
          <w:color w:val="231F20"/>
          <w:sz w:val="20"/>
          <w:szCs w:val="20"/>
        </w:rPr>
        <w:t>N</w:t>
      </w:r>
      <w:r w:rsidR="007C0977">
        <w:rPr>
          <w:color w:val="231F20"/>
          <w:sz w:val="20"/>
          <w:szCs w:val="20"/>
        </w:rPr>
        <w:t>ew</w:t>
      </w:r>
      <w:r w:rsidRPr="00BC51E3">
        <w:rPr>
          <w:color w:val="231F20"/>
          <w:sz w:val="20"/>
          <w:szCs w:val="20"/>
        </w:rPr>
        <w:t xml:space="preserve"> York: Oxford </w:t>
      </w:r>
      <w:proofErr w:type="spellStart"/>
      <w:r w:rsidRPr="00BC51E3">
        <w:rPr>
          <w:color w:val="231F20"/>
          <w:sz w:val="20"/>
          <w:szCs w:val="20"/>
        </w:rPr>
        <w:t>University</w:t>
      </w:r>
      <w:proofErr w:type="spellEnd"/>
      <w:r w:rsidRPr="00BC51E3">
        <w:rPr>
          <w:color w:val="231F20"/>
          <w:sz w:val="20"/>
          <w:szCs w:val="20"/>
        </w:rPr>
        <w:t xml:space="preserve"> Press. </w:t>
      </w:r>
    </w:p>
    <w:p w14:paraId="55E5BE05"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Monroy Rocha, X. (2019). Agite y Sirva: prácticas curatoriales. En X. Monroy Rocha y P. Ruiz Carballido (Eds.), </w:t>
      </w:r>
      <w:r w:rsidRPr="00B45566">
        <w:rPr>
          <w:i/>
          <w:iCs/>
          <w:color w:val="231F20"/>
          <w:sz w:val="20"/>
          <w:szCs w:val="20"/>
        </w:rPr>
        <w:t>04 Curaduría en Videodanza</w:t>
      </w:r>
      <w:r w:rsidRPr="00BC51E3">
        <w:rPr>
          <w:color w:val="231F20"/>
          <w:sz w:val="20"/>
          <w:szCs w:val="20"/>
        </w:rPr>
        <w:t xml:space="preserve"> (pp. 7-20). Puebla: Universidad de las Américas, Puebla.</w:t>
      </w:r>
    </w:p>
    <w:p w14:paraId="69B7B6F5"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rPr>
        <w:t xml:space="preserve">Morales Morante, F. (2013). </w:t>
      </w:r>
      <w:r w:rsidRPr="00B45566">
        <w:rPr>
          <w:i/>
          <w:iCs/>
          <w:color w:val="231F20"/>
          <w:sz w:val="20"/>
          <w:szCs w:val="20"/>
        </w:rPr>
        <w:t>Montaje audiovisual: teoría, técnica y métodos de control</w:t>
      </w:r>
      <w:r w:rsidRPr="00BC51E3">
        <w:rPr>
          <w:color w:val="231F20"/>
          <w:sz w:val="20"/>
          <w:szCs w:val="20"/>
        </w:rPr>
        <w:t xml:space="preserve">. </w:t>
      </w:r>
      <w:r w:rsidRPr="00BC51E3">
        <w:rPr>
          <w:color w:val="231F20"/>
          <w:sz w:val="20"/>
          <w:szCs w:val="20"/>
          <w:lang w:val="en-US"/>
        </w:rPr>
        <w:t xml:space="preserve">Barcelona: Editorial UOC. </w:t>
      </w:r>
    </w:p>
    <w:p w14:paraId="47F2B97C" w14:textId="487E41AB"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proofErr w:type="spellStart"/>
      <w:r w:rsidRPr="00BC51E3">
        <w:rPr>
          <w:color w:val="231F20"/>
          <w:sz w:val="20"/>
          <w:szCs w:val="20"/>
          <w:lang w:val="en-US"/>
        </w:rPr>
        <w:t>Olenina</w:t>
      </w:r>
      <w:proofErr w:type="spellEnd"/>
      <w:r w:rsidRPr="00BC51E3">
        <w:rPr>
          <w:color w:val="231F20"/>
          <w:sz w:val="20"/>
          <w:szCs w:val="20"/>
          <w:lang w:val="en-US"/>
        </w:rPr>
        <w:t xml:space="preserve">, A. (2016). Moto-bio-cine-event. Constructions of expressive movement in Soviet avant - garde film. En D. Rosenberg (Ed.), </w:t>
      </w:r>
      <w:r w:rsidRPr="00657A4E">
        <w:rPr>
          <w:i/>
          <w:iCs/>
          <w:color w:val="231F20"/>
          <w:sz w:val="20"/>
          <w:szCs w:val="20"/>
          <w:lang w:val="en-US"/>
        </w:rPr>
        <w:t xml:space="preserve">The oxford handbook of screendance studies </w:t>
      </w:r>
      <w:r w:rsidRPr="00BC51E3">
        <w:rPr>
          <w:color w:val="231F20"/>
          <w:sz w:val="20"/>
          <w:szCs w:val="20"/>
          <w:lang w:val="en-US"/>
        </w:rPr>
        <w:t>(pp. 79-104). N</w:t>
      </w:r>
      <w:r w:rsidR="007C0977">
        <w:rPr>
          <w:color w:val="231F20"/>
          <w:sz w:val="20"/>
          <w:szCs w:val="20"/>
          <w:lang w:val="en-US"/>
        </w:rPr>
        <w:t>ew</w:t>
      </w:r>
      <w:r w:rsidRPr="00BC51E3">
        <w:rPr>
          <w:color w:val="231F20"/>
          <w:sz w:val="20"/>
          <w:szCs w:val="20"/>
          <w:lang w:val="en-US"/>
        </w:rPr>
        <w:t xml:space="preserve"> York: Oxford University Press.</w:t>
      </w:r>
    </w:p>
    <w:p w14:paraId="45C293C7" w14:textId="7617C77D"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lastRenderedPageBreak/>
        <w:t xml:space="preserve">Penman, R. (1993). Ballet and contemporary dance in </w:t>
      </w:r>
      <w:r w:rsidR="00C47B35" w:rsidRPr="00BC51E3">
        <w:rPr>
          <w:color w:val="231F20"/>
          <w:sz w:val="20"/>
          <w:szCs w:val="20"/>
          <w:lang w:val="en-US"/>
        </w:rPr>
        <w:t>British</w:t>
      </w:r>
      <w:r w:rsidRPr="00BC51E3">
        <w:rPr>
          <w:color w:val="231F20"/>
          <w:sz w:val="20"/>
          <w:szCs w:val="20"/>
          <w:lang w:val="en-US"/>
        </w:rPr>
        <w:t xml:space="preserve"> television. En S. Jordan y D. Allen (Eds.), </w:t>
      </w:r>
      <w:r w:rsidRPr="00657A4E">
        <w:rPr>
          <w:i/>
          <w:iCs/>
          <w:color w:val="231F20"/>
          <w:sz w:val="20"/>
          <w:szCs w:val="20"/>
          <w:lang w:val="en-US"/>
        </w:rPr>
        <w:t>Parallel lines. Media representations of dance</w:t>
      </w:r>
      <w:r w:rsidRPr="00BC51E3">
        <w:rPr>
          <w:color w:val="231F20"/>
          <w:sz w:val="20"/>
          <w:szCs w:val="20"/>
          <w:lang w:val="en-US"/>
        </w:rPr>
        <w:t xml:space="preserve"> (pp. 100-125). Lond</w:t>
      </w:r>
      <w:r w:rsidR="007C0977">
        <w:rPr>
          <w:color w:val="231F20"/>
          <w:sz w:val="20"/>
          <w:szCs w:val="20"/>
          <w:lang w:val="en-US"/>
        </w:rPr>
        <w:t>on</w:t>
      </w:r>
      <w:r w:rsidRPr="00BC51E3">
        <w:rPr>
          <w:color w:val="231F20"/>
          <w:sz w:val="20"/>
          <w:szCs w:val="20"/>
          <w:lang w:val="en-US"/>
        </w:rPr>
        <w:t>: John Libbey &amp; Company Ltd.</w:t>
      </w:r>
    </w:p>
    <w:p w14:paraId="54AC08F1"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Pérez Ornia, J. R. (1991). </w:t>
      </w:r>
      <w:r w:rsidRPr="00657A4E">
        <w:rPr>
          <w:i/>
          <w:iCs/>
          <w:color w:val="231F20"/>
          <w:sz w:val="20"/>
          <w:szCs w:val="20"/>
        </w:rPr>
        <w:t>El arte del video. Introducción del vídeo experimental</w:t>
      </w:r>
      <w:r w:rsidRPr="00BC51E3">
        <w:rPr>
          <w:color w:val="231F20"/>
          <w:sz w:val="20"/>
          <w:szCs w:val="20"/>
        </w:rPr>
        <w:t xml:space="preserve">. Barcelona: RTVE y Ediciones del Serbal. </w:t>
      </w:r>
    </w:p>
    <w:p w14:paraId="66DFE29C" w14:textId="7D1DC780"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lang w:val="en-US"/>
        </w:rPr>
        <w:t xml:space="preserve">Rees, A. L. (1999). </w:t>
      </w:r>
      <w:r w:rsidRPr="00657A4E">
        <w:rPr>
          <w:i/>
          <w:iCs/>
          <w:color w:val="231F20"/>
          <w:sz w:val="20"/>
          <w:szCs w:val="20"/>
          <w:lang w:val="en-US"/>
        </w:rPr>
        <w:t>A history of experimental film and video. From the canonical avant-garde to contemporary British practice</w:t>
      </w:r>
      <w:r w:rsidRPr="00BC51E3">
        <w:rPr>
          <w:color w:val="231F20"/>
          <w:sz w:val="20"/>
          <w:szCs w:val="20"/>
          <w:lang w:val="en-US"/>
        </w:rPr>
        <w:t>. Lond</w:t>
      </w:r>
      <w:r w:rsidR="007C0977">
        <w:rPr>
          <w:color w:val="231F20"/>
          <w:sz w:val="20"/>
          <w:szCs w:val="20"/>
          <w:lang w:val="en-US"/>
        </w:rPr>
        <w:t>on</w:t>
      </w:r>
      <w:r w:rsidRPr="00BC51E3">
        <w:rPr>
          <w:color w:val="231F20"/>
          <w:sz w:val="20"/>
          <w:szCs w:val="20"/>
          <w:lang w:val="en-US"/>
        </w:rPr>
        <w:t>: British Film Institute.</w:t>
      </w:r>
    </w:p>
    <w:p w14:paraId="36056B71" w14:textId="53429C53"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lang w:val="en-US"/>
        </w:rPr>
        <w:t xml:space="preserve">Rosenberg, D. (2012). </w:t>
      </w:r>
      <w:r w:rsidRPr="00657A4E">
        <w:rPr>
          <w:i/>
          <w:iCs/>
          <w:color w:val="231F20"/>
          <w:sz w:val="20"/>
          <w:szCs w:val="20"/>
          <w:lang w:val="en-US"/>
        </w:rPr>
        <w:t>Screendance. Inscribing the ephemeral image</w:t>
      </w:r>
      <w:r w:rsidRPr="00BC51E3">
        <w:rPr>
          <w:color w:val="231F20"/>
          <w:sz w:val="20"/>
          <w:szCs w:val="20"/>
          <w:lang w:val="en-US"/>
        </w:rPr>
        <w:t xml:space="preserve">. </w:t>
      </w:r>
      <w:r w:rsidRPr="00BC51E3">
        <w:rPr>
          <w:color w:val="231F20"/>
          <w:sz w:val="20"/>
          <w:szCs w:val="20"/>
        </w:rPr>
        <w:t>N</w:t>
      </w:r>
      <w:r w:rsidR="007C0977">
        <w:rPr>
          <w:color w:val="231F20"/>
          <w:sz w:val="20"/>
          <w:szCs w:val="20"/>
        </w:rPr>
        <w:t>ew</w:t>
      </w:r>
      <w:r w:rsidRPr="00BC51E3">
        <w:rPr>
          <w:color w:val="231F20"/>
          <w:sz w:val="20"/>
          <w:szCs w:val="20"/>
        </w:rPr>
        <w:t xml:space="preserve"> York: Oxford </w:t>
      </w:r>
      <w:proofErr w:type="spellStart"/>
      <w:r w:rsidRPr="00BC51E3">
        <w:rPr>
          <w:color w:val="231F20"/>
          <w:sz w:val="20"/>
          <w:szCs w:val="20"/>
        </w:rPr>
        <w:t>University</w:t>
      </w:r>
      <w:proofErr w:type="spellEnd"/>
      <w:r w:rsidRPr="00BC51E3">
        <w:rPr>
          <w:color w:val="231F20"/>
          <w:sz w:val="20"/>
          <w:szCs w:val="20"/>
        </w:rPr>
        <w:t xml:space="preserve"> Press. </w:t>
      </w:r>
    </w:p>
    <w:p w14:paraId="08F78FB1"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Sánchez Noriega, J.L. (2018). </w:t>
      </w:r>
      <w:r w:rsidRPr="00657A4E">
        <w:rPr>
          <w:i/>
          <w:iCs/>
          <w:color w:val="231F20"/>
          <w:sz w:val="20"/>
          <w:szCs w:val="20"/>
        </w:rPr>
        <w:t>Historia del cine. Teorías, estéticas, géneros (3ª ed.)</w:t>
      </w:r>
      <w:r w:rsidRPr="00BC51E3">
        <w:rPr>
          <w:color w:val="231F20"/>
          <w:sz w:val="20"/>
          <w:szCs w:val="20"/>
        </w:rPr>
        <w:t>. Madrid: Alianza Editorial.</w:t>
      </w:r>
    </w:p>
    <w:p w14:paraId="1C503146"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r w:rsidRPr="00BC51E3">
        <w:rPr>
          <w:color w:val="231F20"/>
          <w:sz w:val="20"/>
          <w:szCs w:val="20"/>
        </w:rPr>
        <w:t>Sedeño Valdellós, A. M. (2009). El videoclip musical en el contexto del lenguaje audiovisual. En J. A. Sánchez López y F. García Gómez (</w:t>
      </w:r>
      <w:proofErr w:type="spellStart"/>
      <w:r w:rsidRPr="00BC51E3">
        <w:rPr>
          <w:color w:val="231F20"/>
          <w:sz w:val="20"/>
          <w:szCs w:val="20"/>
        </w:rPr>
        <w:t>Coords</w:t>
      </w:r>
      <w:proofErr w:type="spellEnd"/>
      <w:r w:rsidRPr="00BC51E3">
        <w:rPr>
          <w:color w:val="231F20"/>
          <w:sz w:val="20"/>
          <w:szCs w:val="20"/>
        </w:rPr>
        <w:t xml:space="preserve">.), </w:t>
      </w:r>
      <w:r w:rsidRPr="00657A4E">
        <w:rPr>
          <w:i/>
          <w:iCs/>
          <w:color w:val="231F20"/>
          <w:sz w:val="20"/>
          <w:szCs w:val="20"/>
        </w:rPr>
        <w:t>Historia, estética e iconografía del videoclip musical</w:t>
      </w:r>
      <w:r w:rsidRPr="00BC51E3">
        <w:rPr>
          <w:color w:val="231F20"/>
          <w:sz w:val="20"/>
          <w:szCs w:val="20"/>
        </w:rPr>
        <w:t xml:space="preserve"> (pp. 17-42). </w:t>
      </w:r>
      <w:r w:rsidRPr="00BC51E3">
        <w:rPr>
          <w:color w:val="231F20"/>
          <w:sz w:val="20"/>
          <w:szCs w:val="20"/>
          <w:lang w:val="en-US"/>
        </w:rPr>
        <w:t>Málaga: Universidad de Málaga.</w:t>
      </w:r>
    </w:p>
    <w:p w14:paraId="4B7F1834" w14:textId="1C9C0052" w:rsidR="00BC51E3" w:rsidRPr="00BC51E3" w:rsidRDefault="00BC51E3" w:rsidP="00BC51E3">
      <w:pPr>
        <w:widowControl/>
        <w:pBdr>
          <w:top w:val="nil"/>
          <w:left w:val="nil"/>
          <w:bottom w:val="nil"/>
          <w:right w:val="nil"/>
          <w:between w:val="nil"/>
        </w:pBdr>
        <w:spacing w:after="80"/>
        <w:ind w:left="426" w:right="370"/>
        <w:jc w:val="both"/>
        <w:rPr>
          <w:color w:val="231F20"/>
          <w:sz w:val="20"/>
          <w:szCs w:val="20"/>
          <w:lang w:val="en-US"/>
        </w:rPr>
      </w:pPr>
      <w:proofErr w:type="spellStart"/>
      <w:r w:rsidRPr="00BC51E3">
        <w:rPr>
          <w:color w:val="231F20"/>
          <w:sz w:val="20"/>
          <w:szCs w:val="20"/>
          <w:lang w:val="en-US"/>
        </w:rPr>
        <w:t>Sorell</w:t>
      </w:r>
      <w:proofErr w:type="spellEnd"/>
      <w:r w:rsidRPr="00BC51E3">
        <w:rPr>
          <w:color w:val="231F20"/>
          <w:sz w:val="20"/>
          <w:szCs w:val="20"/>
          <w:lang w:val="en-US"/>
        </w:rPr>
        <w:t xml:space="preserve">, W. (1967). </w:t>
      </w:r>
      <w:r w:rsidRPr="00657A4E">
        <w:rPr>
          <w:i/>
          <w:iCs/>
          <w:color w:val="231F20"/>
          <w:sz w:val="20"/>
          <w:szCs w:val="20"/>
          <w:lang w:val="en-US"/>
        </w:rPr>
        <w:t>The dance through the ages</w:t>
      </w:r>
      <w:r w:rsidRPr="00BC51E3">
        <w:rPr>
          <w:color w:val="231F20"/>
          <w:sz w:val="20"/>
          <w:szCs w:val="20"/>
          <w:lang w:val="en-US"/>
        </w:rPr>
        <w:t>. N</w:t>
      </w:r>
      <w:r w:rsidR="007C0977">
        <w:rPr>
          <w:color w:val="231F20"/>
          <w:sz w:val="20"/>
          <w:szCs w:val="20"/>
          <w:lang w:val="en-US"/>
        </w:rPr>
        <w:t>ew</w:t>
      </w:r>
      <w:r w:rsidRPr="00BC51E3">
        <w:rPr>
          <w:color w:val="231F20"/>
          <w:sz w:val="20"/>
          <w:szCs w:val="20"/>
          <w:lang w:val="en-US"/>
        </w:rPr>
        <w:t xml:space="preserve"> York: </w:t>
      </w:r>
      <w:proofErr w:type="spellStart"/>
      <w:r w:rsidRPr="00BC51E3">
        <w:rPr>
          <w:color w:val="231F20"/>
          <w:sz w:val="20"/>
          <w:szCs w:val="20"/>
          <w:lang w:val="en-US"/>
        </w:rPr>
        <w:t>Grosset</w:t>
      </w:r>
      <w:proofErr w:type="spellEnd"/>
      <w:r w:rsidRPr="00BC51E3">
        <w:rPr>
          <w:color w:val="231F20"/>
          <w:sz w:val="20"/>
          <w:szCs w:val="20"/>
          <w:lang w:val="en-US"/>
        </w:rPr>
        <w:t xml:space="preserve"> y Dunlap, Inc.</w:t>
      </w:r>
    </w:p>
    <w:p w14:paraId="65D0718F"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F605A0">
        <w:rPr>
          <w:color w:val="231F20"/>
          <w:sz w:val="20"/>
          <w:szCs w:val="20"/>
        </w:rPr>
        <w:t xml:space="preserve">Stam, R. (2019). </w:t>
      </w:r>
      <w:r w:rsidRPr="00657A4E">
        <w:rPr>
          <w:i/>
          <w:iCs/>
          <w:color w:val="231F20"/>
          <w:sz w:val="20"/>
          <w:szCs w:val="20"/>
        </w:rPr>
        <w:t>Teorías del cine (8ª impresión)</w:t>
      </w:r>
      <w:r w:rsidRPr="00BC51E3">
        <w:rPr>
          <w:color w:val="231F20"/>
          <w:sz w:val="20"/>
          <w:szCs w:val="20"/>
        </w:rPr>
        <w:t>. Barcelona: Editorial Planeta, S.A.</w:t>
      </w:r>
    </w:p>
    <w:p w14:paraId="08A15FA8"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Tejeda, C. (2008). </w:t>
      </w:r>
      <w:r w:rsidRPr="00657A4E">
        <w:rPr>
          <w:i/>
          <w:iCs/>
          <w:color w:val="231F20"/>
          <w:sz w:val="20"/>
          <w:szCs w:val="20"/>
        </w:rPr>
        <w:t>Arte en fotogramas. Cine realizado por artistas</w:t>
      </w:r>
      <w:r w:rsidRPr="00BC51E3">
        <w:rPr>
          <w:color w:val="231F20"/>
          <w:sz w:val="20"/>
          <w:szCs w:val="20"/>
        </w:rPr>
        <w:t>. Madrid: Ediciones Cátedra (Grupo Anaya, S.A.).</w:t>
      </w:r>
    </w:p>
    <w:p w14:paraId="31DF684E" w14:textId="77777777" w:rsidR="00BC51E3" w:rsidRPr="00BC51E3"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Valentín-Gamazo, J. A. y Camarero, E. (2019). </w:t>
      </w:r>
      <w:r w:rsidRPr="00657A4E">
        <w:rPr>
          <w:i/>
          <w:iCs/>
          <w:color w:val="231F20"/>
          <w:sz w:val="20"/>
          <w:szCs w:val="20"/>
        </w:rPr>
        <w:t>Realización televisiva</w:t>
      </w:r>
      <w:r w:rsidRPr="00BC51E3">
        <w:rPr>
          <w:color w:val="231F20"/>
          <w:sz w:val="20"/>
          <w:szCs w:val="20"/>
        </w:rPr>
        <w:t xml:space="preserve">. Madrid: Editorial Síntesis. </w:t>
      </w:r>
    </w:p>
    <w:p w14:paraId="0000009F" w14:textId="5F42B26E" w:rsidR="00FB42D9" w:rsidRDefault="00BC51E3" w:rsidP="00BC51E3">
      <w:pPr>
        <w:widowControl/>
        <w:pBdr>
          <w:top w:val="nil"/>
          <w:left w:val="nil"/>
          <w:bottom w:val="nil"/>
          <w:right w:val="nil"/>
          <w:between w:val="nil"/>
        </w:pBdr>
        <w:spacing w:after="80"/>
        <w:ind w:left="426" w:right="370"/>
        <w:jc w:val="both"/>
        <w:rPr>
          <w:color w:val="231F20"/>
          <w:sz w:val="20"/>
          <w:szCs w:val="20"/>
        </w:rPr>
      </w:pPr>
      <w:r w:rsidRPr="00BC51E3">
        <w:rPr>
          <w:color w:val="231F20"/>
          <w:sz w:val="20"/>
          <w:szCs w:val="20"/>
        </w:rPr>
        <w:t xml:space="preserve">Zunzunegui, S. (2008). </w:t>
      </w:r>
      <w:r w:rsidRPr="00657A4E">
        <w:rPr>
          <w:i/>
          <w:iCs/>
          <w:color w:val="231F20"/>
          <w:sz w:val="20"/>
          <w:szCs w:val="20"/>
        </w:rPr>
        <w:t>Pensar la imagen (9ª Ed)</w:t>
      </w:r>
      <w:r w:rsidRPr="00BC51E3">
        <w:rPr>
          <w:color w:val="231F20"/>
          <w:sz w:val="20"/>
          <w:szCs w:val="20"/>
        </w:rPr>
        <w:t>. Madrid: Ediciones Cátedra (Grupo Anaya, S.A.).</w:t>
      </w:r>
    </w:p>
    <w:p w14:paraId="331EE5BA"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4EA2B2FE"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35A4A080"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3D03FDA9"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14435508" w14:textId="77777777" w:rsidR="007C0977" w:rsidRDefault="007C0977" w:rsidP="00BC51E3">
      <w:pPr>
        <w:widowControl/>
        <w:pBdr>
          <w:top w:val="nil"/>
          <w:left w:val="nil"/>
          <w:bottom w:val="nil"/>
          <w:right w:val="nil"/>
          <w:between w:val="nil"/>
        </w:pBdr>
        <w:spacing w:after="80"/>
        <w:ind w:left="426" w:right="370"/>
        <w:jc w:val="both"/>
        <w:rPr>
          <w:color w:val="231F20"/>
          <w:sz w:val="20"/>
          <w:szCs w:val="20"/>
        </w:rPr>
      </w:pPr>
    </w:p>
    <w:p w14:paraId="08F08C05" w14:textId="77777777" w:rsidR="007C0977" w:rsidRDefault="007C0977" w:rsidP="00BC51E3">
      <w:pPr>
        <w:widowControl/>
        <w:pBdr>
          <w:top w:val="nil"/>
          <w:left w:val="nil"/>
          <w:bottom w:val="nil"/>
          <w:right w:val="nil"/>
          <w:between w:val="nil"/>
        </w:pBdr>
        <w:spacing w:after="80"/>
        <w:ind w:left="426" w:right="370"/>
        <w:jc w:val="both"/>
        <w:rPr>
          <w:color w:val="231F20"/>
          <w:sz w:val="20"/>
          <w:szCs w:val="20"/>
        </w:rPr>
      </w:pPr>
    </w:p>
    <w:p w14:paraId="7CF950EB" w14:textId="77777777" w:rsidR="007C0977" w:rsidRDefault="007C0977" w:rsidP="00BC51E3">
      <w:pPr>
        <w:widowControl/>
        <w:pBdr>
          <w:top w:val="nil"/>
          <w:left w:val="nil"/>
          <w:bottom w:val="nil"/>
          <w:right w:val="nil"/>
          <w:between w:val="nil"/>
        </w:pBdr>
        <w:spacing w:after="80"/>
        <w:ind w:left="426" w:right="370"/>
        <w:jc w:val="both"/>
        <w:rPr>
          <w:color w:val="231F20"/>
          <w:sz w:val="20"/>
          <w:szCs w:val="20"/>
        </w:rPr>
      </w:pPr>
    </w:p>
    <w:p w14:paraId="007608A0" w14:textId="77777777" w:rsidR="007C0977" w:rsidRDefault="007C0977" w:rsidP="00BC51E3">
      <w:pPr>
        <w:widowControl/>
        <w:pBdr>
          <w:top w:val="nil"/>
          <w:left w:val="nil"/>
          <w:bottom w:val="nil"/>
          <w:right w:val="nil"/>
          <w:between w:val="nil"/>
        </w:pBdr>
        <w:spacing w:after="80"/>
        <w:ind w:left="426" w:right="370"/>
        <w:jc w:val="both"/>
        <w:rPr>
          <w:color w:val="231F20"/>
          <w:sz w:val="20"/>
          <w:szCs w:val="20"/>
        </w:rPr>
      </w:pPr>
    </w:p>
    <w:p w14:paraId="3EFD13EF"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2FDBE0A3"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03AE893C" w14:textId="77777777" w:rsidR="002432CC" w:rsidRDefault="002432CC" w:rsidP="00BC51E3">
      <w:pPr>
        <w:widowControl/>
        <w:pBdr>
          <w:top w:val="nil"/>
          <w:left w:val="nil"/>
          <w:bottom w:val="nil"/>
          <w:right w:val="nil"/>
          <w:between w:val="nil"/>
        </w:pBdr>
        <w:spacing w:after="80"/>
        <w:ind w:left="426" w:right="370"/>
        <w:jc w:val="both"/>
        <w:rPr>
          <w:color w:val="231F20"/>
          <w:sz w:val="20"/>
          <w:szCs w:val="20"/>
        </w:rPr>
      </w:pPr>
    </w:p>
    <w:p w14:paraId="1EF1BE2D" w14:textId="77777777" w:rsidR="002432CC" w:rsidRPr="00BC51E3" w:rsidRDefault="002432CC" w:rsidP="00BC51E3">
      <w:pPr>
        <w:widowControl/>
        <w:pBdr>
          <w:top w:val="nil"/>
          <w:left w:val="nil"/>
          <w:bottom w:val="nil"/>
          <w:right w:val="nil"/>
          <w:between w:val="nil"/>
        </w:pBdr>
        <w:spacing w:after="80"/>
        <w:ind w:left="426" w:right="370"/>
        <w:jc w:val="both"/>
        <w:rPr>
          <w:color w:val="231F20"/>
          <w:sz w:val="20"/>
          <w:szCs w:val="20"/>
        </w:rPr>
      </w:pPr>
    </w:p>
    <w:p w14:paraId="000000A0" w14:textId="77777777" w:rsidR="00FB42D9" w:rsidRDefault="00FB42D9">
      <w:pPr>
        <w:widowControl/>
        <w:pBdr>
          <w:top w:val="nil"/>
          <w:left w:val="nil"/>
          <w:bottom w:val="nil"/>
          <w:right w:val="nil"/>
          <w:between w:val="nil"/>
        </w:pBdr>
        <w:spacing w:after="80"/>
        <w:rPr>
          <w:color w:val="000000"/>
          <w:sz w:val="20"/>
          <w:szCs w:val="20"/>
        </w:rPr>
      </w:pPr>
    </w:p>
    <w:p w14:paraId="000000A1" w14:textId="16F11C26" w:rsidR="00FB42D9" w:rsidRDefault="00000000">
      <w:pPr>
        <w:pStyle w:val="Ttulo1"/>
        <w:widowControl/>
        <w:numPr>
          <w:ilvl w:val="0"/>
          <w:numId w:val="3"/>
        </w:numPr>
        <w:spacing w:after="80"/>
        <w:rPr>
          <w:rFonts w:ascii="Garamond" w:eastAsia="Garamond" w:hAnsi="Garamond" w:cs="Garamond"/>
          <w:b/>
        </w:rPr>
      </w:pPr>
      <w:bookmarkStart w:id="0" w:name="_heading=h.rbuu13hk251t" w:colFirst="0" w:colLast="0"/>
      <w:bookmarkEnd w:id="0"/>
      <w:proofErr w:type="spellStart"/>
      <w:r>
        <w:rPr>
          <w:rFonts w:ascii="Garamond" w:eastAsia="Garamond" w:hAnsi="Garamond" w:cs="Garamond"/>
          <w:b/>
          <w:color w:val="98361E"/>
        </w:rPr>
        <w:t>Contributor</w:t>
      </w:r>
      <w:proofErr w:type="spellEnd"/>
      <w:r>
        <w:rPr>
          <w:rFonts w:ascii="Garamond" w:eastAsia="Garamond" w:hAnsi="Garamond" w:cs="Garamond"/>
          <w:b/>
          <w:color w:val="98361E"/>
        </w:rPr>
        <w:t xml:space="preserve"> Role </w:t>
      </w:r>
      <w:proofErr w:type="spellStart"/>
      <w:r>
        <w:rPr>
          <w:rFonts w:ascii="Garamond" w:eastAsia="Garamond" w:hAnsi="Garamond" w:cs="Garamond"/>
          <w:b/>
          <w:color w:val="98361E"/>
        </w:rPr>
        <w:t>Taxonomy</w:t>
      </w:r>
      <w:proofErr w:type="spellEnd"/>
      <w:r>
        <w:rPr>
          <w:rFonts w:ascii="Garamond" w:eastAsia="Garamond" w:hAnsi="Garamond" w:cs="Garamond"/>
          <w:b/>
          <w:color w:val="98361E"/>
        </w:rPr>
        <w:t xml:space="preserve"> (CRediT): contribución específica de cada firmante</w:t>
      </w:r>
      <w:r w:rsidR="00C26F0D">
        <w:rPr>
          <w:rFonts w:ascii="Garamond" w:eastAsia="Garamond" w:hAnsi="Garamond" w:cs="Garamond"/>
          <w:b/>
          <w:color w:val="98361E"/>
        </w:rPr>
        <w:t xml:space="preserve"> </w:t>
      </w:r>
    </w:p>
    <w:p w14:paraId="000000A2" w14:textId="77777777" w:rsidR="00FB42D9" w:rsidRDefault="00FB42D9">
      <w:pPr>
        <w:ind w:left="786"/>
      </w:pPr>
    </w:p>
    <w:p w14:paraId="000000A3" w14:textId="77777777" w:rsidR="00FB42D9" w:rsidRDefault="00FB42D9">
      <w:pPr>
        <w:ind w:left="786"/>
      </w:pPr>
    </w:p>
    <w:tbl>
      <w:tblPr>
        <w:tblStyle w:val="a2"/>
        <w:tblW w:w="6945"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0"/>
        <w:gridCol w:w="2276"/>
        <w:gridCol w:w="2409"/>
      </w:tblGrid>
      <w:tr w:rsidR="00FB42D9" w14:paraId="34EFB588" w14:textId="77777777" w:rsidTr="002432CC">
        <w:trPr>
          <w:trHeight w:val="367"/>
        </w:trPr>
        <w:tc>
          <w:tcPr>
            <w:tcW w:w="2260" w:type="dxa"/>
            <w:tcMar>
              <w:top w:w="100" w:type="dxa"/>
              <w:left w:w="100" w:type="dxa"/>
              <w:bottom w:w="100" w:type="dxa"/>
              <w:right w:w="100" w:type="dxa"/>
            </w:tcMar>
          </w:tcPr>
          <w:p w14:paraId="000000A4" w14:textId="25C757CF" w:rsidR="00FB42D9" w:rsidRDefault="00000000">
            <w:pPr>
              <w:pBdr>
                <w:top w:val="nil"/>
                <w:left w:val="nil"/>
                <w:bottom w:val="nil"/>
                <w:right w:val="nil"/>
                <w:between w:val="nil"/>
              </w:pBdr>
              <w:rPr>
                <w:b/>
                <w:color w:val="98361E"/>
              </w:rPr>
            </w:pPr>
            <w:r>
              <w:rPr>
                <w:b/>
                <w:color w:val="98361E"/>
              </w:rPr>
              <w:lastRenderedPageBreak/>
              <w:t>Tarea</w:t>
            </w:r>
          </w:p>
        </w:tc>
        <w:tc>
          <w:tcPr>
            <w:tcW w:w="2276" w:type="dxa"/>
            <w:tcMar>
              <w:top w:w="100" w:type="dxa"/>
              <w:left w:w="100" w:type="dxa"/>
              <w:bottom w:w="100" w:type="dxa"/>
              <w:right w:w="100" w:type="dxa"/>
            </w:tcMar>
          </w:tcPr>
          <w:p w14:paraId="000000A5" w14:textId="609A46CA" w:rsidR="00FB42D9" w:rsidRDefault="00C26F0D">
            <w:pPr>
              <w:pBdr>
                <w:top w:val="nil"/>
                <w:left w:val="nil"/>
                <w:bottom w:val="nil"/>
                <w:right w:val="nil"/>
                <w:between w:val="nil"/>
              </w:pBdr>
              <w:rPr>
                <w:b/>
                <w:color w:val="98361E"/>
              </w:rPr>
            </w:pPr>
            <w:r>
              <w:rPr>
                <w:b/>
                <w:color w:val="98361E"/>
              </w:rPr>
              <w:t>Alma Llerena Fernández</w:t>
            </w:r>
          </w:p>
        </w:tc>
        <w:tc>
          <w:tcPr>
            <w:tcW w:w="2409" w:type="dxa"/>
            <w:tcMar>
              <w:top w:w="100" w:type="dxa"/>
              <w:left w:w="100" w:type="dxa"/>
              <w:bottom w:w="100" w:type="dxa"/>
              <w:right w:w="100" w:type="dxa"/>
            </w:tcMar>
          </w:tcPr>
          <w:p w14:paraId="000000A6" w14:textId="14E46F18" w:rsidR="00FB42D9" w:rsidRDefault="00C26F0D">
            <w:pPr>
              <w:pBdr>
                <w:top w:val="nil"/>
                <w:left w:val="nil"/>
                <w:bottom w:val="nil"/>
                <w:right w:val="nil"/>
                <w:between w:val="nil"/>
              </w:pBdr>
              <w:rPr>
                <w:b/>
                <w:color w:val="98361E"/>
              </w:rPr>
            </w:pPr>
            <w:r>
              <w:rPr>
                <w:b/>
                <w:color w:val="98361E"/>
              </w:rPr>
              <w:t>Víctor Manuel Barbera Hernández</w:t>
            </w:r>
          </w:p>
        </w:tc>
      </w:tr>
      <w:tr w:rsidR="00FB42D9" w14:paraId="6B14048F" w14:textId="77777777" w:rsidTr="002432CC">
        <w:trPr>
          <w:trHeight w:val="304"/>
        </w:trPr>
        <w:tc>
          <w:tcPr>
            <w:tcW w:w="2260" w:type="dxa"/>
            <w:tcMar>
              <w:top w:w="100" w:type="dxa"/>
              <w:left w:w="100" w:type="dxa"/>
              <w:bottom w:w="100" w:type="dxa"/>
              <w:right w:w="100" w:type="dxa"/>
            </w:tcMar>
          </w:tcPr>
          <w:p w14:paraId="000000A7" w14:textId="77777777" w:rsidR="00FB42D9" w:rsidRDefault="00000000">
            <w:pPr>
              <w:pBdr>
                <w:top w:val="nil"/>
                <w:left w:val="nil"/>
                <w:bottom w:val="nil"/>
                <w:right w:val="nil"/>
                <w:between w:val="nil"/>
              </w:pBdr>
              <w:rPr>
                <w:color w:val="98361E"/>
              </w:rPr>
            </w:pPr>
            <w:r>
              <w:rPr>
                <w:color w:val="98361E"/>
              </w:rPr>
              <w:t>Conceptualización</w:t>
            </w:r>
          </w:p>
        </w:tc>
        <w:tc>
          <w:tcPr>
            <w:tcW w:w="2276" w:type="dxa"/>
            <w:tcMar>
              <w:top w:w="100" w:type="dxa"/>
              <w:left w:w="100" w:type="dxa"/>
              <w:bottom w:w="100" w:type="dxa"/>
              <w:right w:w="100" w:type="dxa"/>
            </w:tcMar>
          </w:tcPr>
          <w:p w14:paraId="000000A8" w14:textId="363C1854" w:rsidR="00FB42D9" w:rsidRDefault="00C26F0D">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A9" w14:textId="77777777" w:rsidR="00FB42D9" w:rsidRDefault="00000000">
            <w:pPr>
              <w:pBdr>
                <w:top w:val="nil"/>
                <w:left w:val="nil"/>
                <w:bottom w:val="nil"/>
                <w:right w:val="nil"/>
                <w:between w:val="nil"/>
              </w:pBdr>
              <w:rPr>
                <w:color w:val="98361E"/>
              </w:rPr>
            </w:pPr>
            <w:r>
              <w:rPr>
                <w:color w:val="98361E"/>
              </w:rPr>
              <w:t>X</w:t>
            </w:r>
          </w:p>
        </w:tc>
      </w:tr>
      <w:tr w:rsidR="00FB42D9" w14:paraId="79FFE033" w14:textId="77777777" w:rsidTr="002432CC">
        <w:tc>
          <w:tcPr>
            <w:tcW w:w="2260" w:type="dxa"/>
            <w:tcMar>
              <w:top w:w="100" w:type="dxa"/>
              <w:left w:w="100" w:type="dxa"/>
              <w:bottom w:w="100" w:type="dxa"/>
              <w:right w:w="100" w:type="dxa"/>
            </w:tcMar>
          </w:tcPr>
          <w:p w14:paraId="000000AA" w14:textId="77777777" w:rsidR="00FB42D9" w:rsidRDefault="00000000">
            <w:pPr>
              <w:pBdr>
                <w:top w:val="nil"/>
                <w:left w:val="nil"/>
                <w:bottom w:val="nil"/>
                <w:right w:val="nil"/>
                <w:between w:val="nil"/>
              </w:pBdr>
              <w:rPr>
                <w:color w:val="98361E"/>
              </w:rPr>
            </w:pPr>
            <w:r>
              <w:rPr>
                <w:color w:val="98361E"/>
              </w:rPr>
              <w:t>Curación de datos</w:t>
            </w:r>
          </w:p>
        </w:tc>
        <w:tc>
          <w:tcPr>
            <w:tcW w:w="2276" w:type="dxa"/>
            <w:tcMar>
              <w:top w:w="100" w:type="dxa"/>
              <w:left w:w="100" w:type="dxa"/>
              <w:bottom w:w="100" w:type="dxa"/>
              <w:right w:w="100" w:type="dxa"/>
            </w:tcMar>
          </w:tcPr>
          <w:p w14:paraId="000000AB" w14:textId="77777777" w:rsidR="00FB42D9" w:rsidRDefault="00000000">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AC" w14:textId="6ED3BA7F" w:rsidR="00FB42D9" w:rsidRDefault="00FB42D9">
            <w:pPr>
              <w:pBdr>
                <w:top w:val="nil"/>
                <w:left w:val="nil"/>
                <w:bottom w:val="nil"/>
                <w:right w:val="nil"/>
                <w:between w:val="nil"/>
              </w:pBdr>
              <w:rPr>
                <w:color w:val="98361E"/>
              </w:rPr>
            </w:pPr>
          </w:p>
        </w:tc>
      </w:tr>
      <w:tr w:rsidR="00FB42D9" w14:paraId="68490746" w14:textId="77777777" w:rsidTr="002432CC">
        <w:trPr>
          <w:trHeight w:val="305"/>
        </w:trPr>
        <w:tc>
          <w:tcPr>
            <w:tcW w:w="2260" w:type="dxa"/>
            <w:tcMar>
              <w:top w:w="100" w:type="dxa"/>
              <w:left w:w="100" w:type="dxa"/>
              <w:bottom w:w="100" w:type="dxa"/>
              <w:right w:w="100" w:type="dxa"/>
            </w:tcMar>
          </w:tcPr>
          <w:p w14:paraId="000000AD" w14:textId="77777777" w:rsidR="00FB42D9" w:rsidRDefault="00000000">
            <w:pPr>
              <w:pBdr>
                <w:top w:val="nil"/>
                <w:left w:val="nil"/>
                <w:bottom w:val="nil"/>
                <w:right w:val="nil"/>
                <w:between w:val="nil"/>
              </w:pBdr>
              <w:rPr>
                <w:color w:val="98361E"/>
              </w:rPr>
            </w:pPr>
            <w:r>
              <w:rPr>
                <w:color w:val="98361E"/>
              </w:rPr>
              <w:t>Análisis formal</w:t>
            </w:r>
          </w:p>
        </w:tc>
        <w:tc>
          <w:tcPr>
            <w:tcW w:w="2276" w:type="dxa"/>
            <w:tcMar>
              <w:top w:w="100" w:type="dxa"/>
              <w:left w:w="100" w:type="dxa"/>
              <w:bottom w:w="100" w:type="dxa"/>
              <w:right w:w="100" w:type="dxa"/>
            </w:tcMar>
          </w:tcPr>
          <w:p w14:paraId="000000AE" w14:textId="4BA686DB" w:rsidR="00FB42D9" w:rsidRDefault="00FB42D9">
            <w:pPr>
              <w:pBdr>
                <w:top w:val="nil"/>
                <w:left w:val="nil"/>
                <w:bottom w:val="nil"/>
                <w:right w:val="nil"/>
                <w:between w:val="nil"/>
              </w:pBdr>
              <w:rPr>
                <w:color w:val="98361E"/>
              </w:rPr>
            </w:pPr>
          </w:p>
        </w:tc>
        <w:tc>
          <w:tcPr>
            <w:tcW w:w="2409" w:type="dxa"/>
            <w:tcMar>
              <w:top w:w="100" w:type="dxa"/>
              <w:left w:w="100" w:type="dxa"/>
              <w:bottom w:w="100" w:type="dxa"/>
              <w:right w:w="100" w:type="dxa"/>
            </w:tcMar>
          </w:tcPr>
          <w:p w14:paraId="000000AF" w14:textId="77777777" w:rsidR="00FB42D9" w:rsidRDefault="00000000">
            <w:pPr>
              <w:pBdr>
                <w:top w:val="nil"/>
                <w:left w:val="nil"/>
                <w:bottom w:val="nil"/>
                <w:right w:val="nil"/>
                <w:between w:val="nil"/>
              </w:pBdr>
              <w:rPr>
                <w:color w:val="98361E"/>
              </w:rPr>
            </w:pPr>
            <w:r>
              <w:rPr>
                <w:color w:val="98361E"/>
              </w:rPr>
              <w:t>X</w:t>
            </w:r>
          </w:p>
        </w:tc>
      </w:tr>
      <w:tr w:rsidR="00FB42D9" w14:paraId="54A90748" w14:textId="77777777" w:rsidTr="002432CC">
        <w:tc>
          <w:tcPr>
            <w:tcW w:w="2260" w:type="dxa"/>
            <w:tcMar>
              <w:top w:w="100" w:type="dxa"/>
              <w:left w:w="100" w:type="dxa"/>
              <w:bottom w:w="100" w:type="dxa"/>
              <w:right w:w="100" w:type="dxa"/>
            </w:tcMar>
          </w:tcPr>
          <w:p w14:paraId="000000B0" w14:textId="77777777" w:rsidR="00FB42D9" w:rsidRDefault="00000000">
            <w:pPr>
              <w:pBdr>
                <w:top w:val="nil"/>
                <w:left w:val="nil"/>
                <w:bottom w:val="nil"/>
                <w:right w:val="nil"/>
                <w:between w:val="nil"/>
              </w:pBdr>
              <w:rPr>
                <w:color w:val="98361E"/>
              </w:rPr>
            </w:pPr>
            <w:r>
              <w:rPr>
                <w:color w:val="98361E"/>
              </w:rPr>
              <w:t>Investigación</w:t>
            </w:r>
          </w:p>
        </w:tc>
        <w:tc>
          <w:tcPr>
            <w:tcW w:w="2276" w:type="dxa"/>
            <w:tcMar>
              <w:top w:w="100" w:type="dxa"/>
              <w:left w:w="100" w:type="dxa"/>
              <w:bottom w:w="100" w:type="dxa"/>
              <w:right w:w="100" w:type="dxa"/>
            </w:tcMar>
          </w:tcPr>
          <w:p w14:paraId="000000B1" w14:textId="77777777" w:rsidR="00FB42D9" w:rsidRDefault="00000000">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B2" w14:textId="77777777" w:rsidR="00FB42D9" w:rsidRDefault="00000000">
            <w:pPr>
              <w:pBdr>
                <w:top w:val="nil"/>
                <w:left w:val="nil"/>
                <w:bottom w:val="nil"/>
                <w:right w:val="nil"/>
                <w:between w:val="nil"/>
              </w:pBdr>
              <w:rPr>
                <w:color w:val="98361E"/>
              </w:rPr>
            </w:pPr>
            <w:r>
              <w:rPr>
                <w:color w:val="98361E"/>
              </w:rPr>
              <w:t>X</w:t>
            </w:r>
          </w:p>
        </w:tc>
      </w:tr>
      <w:tr w:rsidR="00FB42D9" w14:paraId="738942D9" w14:textId="77777777" w:rsidTr="002432CC">
        <w:tc>
          <w:tcPr>
            <w:tcW w:w="2260" w:type="dxa"/>
            <w:tcMar>
              <w:top w:w="100" w:type="dxa"/>
              <w:left w:w="100" w:type="dxa"/>
              <w:bottom w:w="100" w:type="dxa"/>
              <w:right w:w="100" w:type="dxa"/>
            </w:tcMar>
          </w:tcPr>
          <w:p w14:paraId="000000B3" w14:textId="77777777" w:rsidR="00FB42D9" w:rsidRDefault="00000000">
            <w:pPr>
              <w:pBdr>
                <w:top w:val="nil"/>
                <w:left w:val="nil"/>
                <w:bottom w:val="nil"/>
                <w:right w:val="nil"/>
                <w:between w:val="nil"/>
              </w:pBdr>
              <w:rPr>
                <w:color w:val="98361E"/>
              </w:rPr>
            </w:pPr>
            <w:r>
              <w:rPr>
                <w:color w:val="98361E"/>
              </w:rPr>
              <w:t>Metodología</w:t>
            </w:r>
          </w:p>
        </w:tc>
        <w:tc>
          <w:tcPr>
            <w:tcW w:w="2276" w:type="dxa"/>
            <w:tcMar>
              <w:top w:w="100" w:type="dxa"/>
              <w:left w:w="100" w:type="dxa"/>
              <w:bottom w:w="100" w:type="dxa"/>
              <w:right w:w="100" w:type="dxa"/>
            </w:tcMar>
          </w:tcPr>
          <w:p w14:paraId="000000B4" w14:textId="577C2C78" w:rsidR="00FB42D9" w:rsidRDefault="00FB42D9">
            <w:pPr>
              <w:pBdr>
                <w:top w:val="nil"/>
                <w:left w:val="nil"/>
                <w:bottom w:val="nil"/>
                <w:right w:val="nil"/>
                <w:between w:val="nil"/>
              </w:pBdr>
              <w:rPr>
                <w:color w:val="98361E"/>
              </w:rPr>
            </w:pPr>
          </w:p>
        </w:tc>
        <w:tc>
          <w:tcPr>
            <w:tcW w:w="2409" w:type="dxa"/>
            <w:tcMar>
              <w:top w:w="100" w:type="dxa"/>
              <w:left w:w="100" w:type="dxa"/>
              <w:bottom w:w="100" w:type="dxa"/>
              <w:right w:w="100" w:type="dxa"/>
            </w:tcMar>
          </w:tcPr>
          <w:p w14:paraId="000000B5" w14:textId="77777777" w:rsidR="00FB42D9" w:rsidRDefault="00000000">
            <w:pPr>
              <w:pBdr>
                <w:top w:val="nil"/>
                <w:left w:val="nil"/>
                <w:bottom w:val="nil"/>
                <w:right w:val="nil"/>
                <w:between w:val="nil"/>
              </w:pBdr>
              <w:rPr>
                <w:color w:val="98361E"/>
              </w:rPr>
            </w:pPr>
            <w:r>
              <w:rPr>
                <w:color w:val="98361E"/>
              </w:rPr>
              <w:t>X</w:t>
            </w:r>
          </w:p>
        </w:tc>
      </w:tr>
      <w:tr w:rsidR="00FB42D9" w14:paraId="73D67C09" w14:textId="77777777" w:rsidTr="002432CC">
        <w:tc>
          <w:tcPr>
            <w:tcW w:w="2260" w:type="dxa"/>
            <w:tcMar>
              <w:top w:w="100" w:type="dxa"/>
              <w:left w:w="100" w:type="dxa"/>
              <w:bottom w:w="100" w:type="dxa"/>
              <w:right w:w="100" w:type="dxa"/>
            </w:tcMar>
          </w:tcPr>
          <w:p w14:paraId="000000B6" w14:textId="77777777" w:rsidR="00FB42D9" w:rsidRDefault="00000000">
            <w:pPr>
              <w:pBdr>
                <w:top w:val="nil"/>
                <w:left w:val="nil"/>
                <w:bottom w:val="nil"/>
                <w:right w:val="nil"/>
                <w:between w:val="nil"/>
              </w:pBdr>
              <w:rPr>
                <w:color w:val="98361E"/>
              </w:rPr>
            </w:pPr>
            <w:r>
              <w:rPr>
                <w:color w:val="98361E"/>
              </w:rPr>
              <w:t>Administración del proyecto</w:t>
            </w:r>
          </w:p>
        </w:tc>
        <w:tc>
          <w:tcPr>
            <w:tcW w:w="2276" w:type="dxa"/>
            <w:tcMar>
              <w:top w:w="100" w:type="dxa"/>
              <w:left w:w="100" w:type="dxa"/>
              <w:bottom w:w="100" w:type="dxa"/>
              <w:right w:w="100" w:type="dxa"/>
            </w:tcMar>
          </w:tcPr>
          <w:p w14:paraId="000000B7" w14:textId="77777777" w:rsidR="00FB42D9" w:rsidRDefault="00000000">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B8" w14:textId="4E906EFA" w:rsidR="00FB42D9" w:rsidRDefault="00FB42D9">
            <w:pPr>
              <w:pBdr>
                <w:top w:val="nil"/>
                <w:left w:val="nil"/>
                <w:bottom w:val="nil"/>
                <w:right w:val="nil"/>
                <w:between w:val="nil"/>
              </w:pBdr>
              <w:rPr>
                <w:color w:val="98361E"/>
              </w:rPr>
            </w:pPr>
          </w:p>
        </w:tc>
      </w:tr>
      <w:tr w:rsidR="00FB42D9" w14:paraId="5EC14442" w14:textId="77777777" w:rsidTr="002432CC">
        <w:tc>
          <w:tcPr>
            <w:tcW w:w="2260" w:type="dxa"/>
            <w:tcMar>
              <w:top w:w="100" w:type="dxa"/>
              <w:left w:w="100" w:type="dxa"/>
              <w:bottom w:w="100" w:type="dxa"/>
              <w:right w:w="100" w:type="dxa"/>
            </w:tcMar>
          </w:tcPr>
          <w:p w14:paraId="000000BC" w14:textId="77777777" w:rsidR="00FB42D9" w:rsidRDefault="00000000">
            <w:pPr>
              <w:pBdr>
                <w:top w:val="nil"/>
                <w:left w:val="nil"/>
                <w:bottom w:val="nil"/>
                <w:right w:val="nil"/>
                <w:between w:val="nil"/>
              </w:pBdr>
              <w:rPr>
                <w:color w:val="98361E"/>
              </w:rPr>
            </w:pPr>
            <w:r>
              <w:rPr>
                <w:color w:val="98361E"/>
              </w:rPr>
              <w:t xml:space="preserve">Recursos </w:t>
            </w:r>
          </w:p>
        </w:tc>
        <w:tc>
          <w:tcPr>
            <w:tcW w:w="2276" w:type="dxa"/>
            <w:tcMar>
              <w:top w:w="100" w:type="dxa"/>
              <w:left w:w="100" w:type="dxa"/>
              <w:bottom w:w="100" w:type="dxa"/>
              <w:right w:w="100" w:type="dxa"/>
            </w:tcMar>
          </w:tcPr>
          <w:p w14:paraId="000000BD" w14:textId="45F80BBA" w:rsidR="00FB42D9" w:rsidRDefault="00FB42D9">
            <w:pPr>
              <w:pBdr>
                <w:top w:val="nil"/>
                <w:left w:val="nil"/>
                <w:bottom w:val="nil"/>
                <w:right w:val="nil"/>
                <w:between w:val="nil"/>
              </w:pBdr>
              <w:rPr>
                <w:color w:val="98361E"/>
              </w:rPr>
            </w:pPr>
          </w:p>
        </w:tc>
        <w:tc>
          <w:tcPr>
            <w:tcW w:w="2409" w:type="dxa"/>
            <w:tcMar>
              <w:top w:w="100" w:type="dxa"/>
              <w:left w:w="100" w:type="dxa"/>
              <w:bottom w:w="100" w:type="dxa"/>
              <w:right w:w="100" w:type="dxa"/>
            </w:tcMar>
          </w:tcPr>
          <w:p w14:paraId="000000BE" w14:textId="52313CD8" w:rsidR="00FB42D9" w:rsidRDefault="00FB42D9">
            <w:pPr>
              <w:pBdr>
                <w:top w:val="nil"/>
                <w:left w:val="nil"/>
                <w:bottom w:val="nil"/>
                <w:right w:val="nil"/>
                <w:between w:val="nil"/>
              </w:pBdr>
              <w:rPr>
                <w:color w:val="98361E"/>
              </w:rPr>
            </w:pPr>
          </w:p>
        </w:tc>
      </w:tr>
      <w:tr w:rsidR="00FB42D9" w14:paraId="3764806D" w14:textId="77777777" w:rsidTr="002432CC">
        <w:tc>
          <w:tcPr>
            <w:tcW w:w="2260" w:type="dxa"/>
            <w:tcMar>
              <w:top w:w="100" w:type="dxa"/>
              <w:left w:w="100" w:type="dxa"/>
              <w:bottom w:w="100" w:type="dxa"/>
              <w:right w:w="100" w:type="dxa"/>
            </w:tcMar>
          </w:tcPr>
          <w:p w14:paraId="000000BF" w14:textId="77777777" w:rsidR="00FB42D9" w:rsidRDefault="00000000">
            <w:pPr>
              <w:pBdr>
                <w:top w:val="nil"/>
                <w:left w:val="nil"/>
                <w:bottom w:val="nil"/>
                <w:right w:val="nil"/>
                <w:between w:val="nil"/>
              </w:pBdr>
              <w:rPr>
                <w:color w:val="98361E"/>
              </w:rPr>
            </w:pPr>
            <w:r>
              <w:rPr>
                <w:color w:val="98361E"/>
              </w:rPr>
              <w:t>Software</w:t>
            </w:r>
          </w:p>
        </w:tc>
        <w:tc>
          <w:tcPr>
            <w:tcW w:w="2276" w:type="dxa"/>
            <w:tcMar>
              <w:top w:w="100" w:type="dxa"/>
              <w:left w:w="100" w:type="dxa"/>
              <w:bottom w:w="100" w:type="dxa"/>
              <w:right w:w="100" w:type="dxa"/>
            </w:tcMar>
          </w:tcPr>
          <w:p w14:paraId="000000C0" w14:textId="183F5F21" w:rsidR="00FB42D9" w:rsidRDefault="00FB42D9">
            <w:pPr>
              <w:pBdr>
                <w:top w:val="nil"/>
                <w:left w:val="nil"/>
                <w:bottom w:val="nil"/>
                <w:right w:val="nil"/>
                <w:between w:val="nil"/>
              </w:pBdr>
              <w:rPr>
                <w:color w:val="98361E"/>
              </w:rPr>
            </w:pPr>
          </w:p>
        </w:tc>
        <w:tc>
          <w:tcPr>
            <w:tcW w:w="2409" w:type="dxa"/>
            <w:tcMar>
              <w:top w:w="100" w:type="dxa"/>
              <w:left w:w="100" w:type="dxa"/>
              <w:bottom w:w="100" w:type="dxa"/>
              <w:right w:w="100" w:type="dxa"/>
            </w:tcMar>
          </w:tcPr>
          <w:p w14:paraId="000000C1" w14:textId="70D43698" w:rsidR="00FB42D9" w:rsidRDefault="00FB42D9">
            <w:pPr>
              <w:pBdr>
                <w:top w:val="nil"/>
                <w:left w:val="nil"/>
                <w:bottom w:val="nil"/>
                <w:right w:val="nil"/>
                <w:between w:val="nil"/>
              </w:pBdr>
              <w:rPr>
                <w:color w:val="98361E"/>
              </w:rPr>
            </w:pPr>
          </w:p>
        </w:tc>
      </w:tr>
      <w:tr w:rsidR="00FB42D9" w14:paraId="259FB762" w14:textId="77777777" w:rsidTr="002432CC">
        <w:tc>
          <w:tcPr>
            <w:tcW w:w="2260" w:type="dxa"/>
            <w:tcMar>
              <w:top w:w="100" w:type="dxa"/>
              <w:left w:w="100" w:type="dxa"/>
              <w:bottom w:w="100" w:type="dxa"/>
              <w:right w:w="100" w:type="dxa"/>
            </w:tcMar>
          </w:tcPr>
          <w:p w14:paraId="000000C2" w14:textId="77777777" w:rsidR="00FB42D9" w:rsidRDefault="00000000">
            <w:pPr>
              <w:pBdr>
                <w:top w:val="nil"/>
                <w:left w:val="nil"/>
                <w:bottom w:val="nil"/>
                <w:right w:val="nil"/>
                <w:between w:val="nil"/>
              </w:pBdr>
              <w:rPr>
                <w:color w:val="98361E"/>
              </w:rPr>
            </w:pPr>
            <w:r>
              <w:rPr>
                <w:color w:val="98361E"/>
              </w:rPr>
              <w:t>Supervisión</w:t>
            </w:r>
          </w:p>
        </w:tc>
        <w:tc>
          <w:tcPr>
            <w:tcW w:w="2276" w:type="dxa"/>
            <w:tcMar>
              <w:top w:w="100" w:type="dxa"/>
              <w:left w:w="100" w:type="dxa"/>
              <w:bottom w:w="100" w:type="dxa"/>
              <w:right w:w="100" w:type="dxa"/>
            </w:tcMar>
          </w:tcPr>
          <w:p w14:paraId="000000C3" w14:textId="77777777" w:rsidR="00FB42D9" w:rsidRDefault="00000000">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C4" w14:textId="15FE4A7C" w:rsidR="00FB42D9" w:rsidRDefault="00FB42D9">
            <w:pPr>
              <w:pBdr>
                <w:top w:val="nil"/>
                <w:left w:val="nil"/>
                <w:bottom w:val="nil"/>
                <w:right w:val="nil"/>
                <w:between w:val="nil"/>
              </w:pBdr>
              <w:rPr>
                <w:color w:val="98361E"/>
              </w:rPr>
            </w:pPr>
          </w:p>
        </w:tc>
      </w:tr>
      <w:tr w:rsidR="00FB42D9" w14:paraId="7B4ADFA6" w14:textId="77777777" w:rsidTr="002432CC">
        <w:tc>
          <w:tcPr>
            <w:tcW w:w="2260" w:type="dxa"/>
            <w:tcMar>
              <w:top w:w="100" w:type="dxa"/>
              <w:left w:w="100" w:type="dxa"/>
              <w:bottom w:w="100" w:type="dxa"/>
              <w:right w:w="100" w:type="dxa"/>
            </w:tcMar>
          </w:tcPr>
          <w:p w14:paraId="000000C5" w14:textId="77777777" w:rsidR="00FB42D9" w:rsidRDefault="00000000">
            <w:pPr>
              <w:pBdr>
                <w:top w:val="nil"/>
                <w:left w:val="nil"/>
                <w:bottom w:val="nil"/>
                <w:right w:val="nil"/>
                <w:between w:val="nil"/>
              </w:pBdr>
              <w:rPr>
                <w:color w:val="98361E"/>
              </w:rPr>
            </w:pPr>
            <w:r>
              <w:rPr>
                <w:color w:val="98361E"/>
              </w:rPr>
              <w:t>Validación</w:t>
            </w:r>
          </w:p>
        </w:tc>
        <w:tc>
          <w:tcPr>
            <w:tcW w:w="2276" w:type="dxa"/>
            <w:tcMar>
              <w:top w:w="100" w:type="dxa"/>
              <w:left w:w="100" w:type="dxa"/>
              <w:bottom w:w="100" w:type="dxa"/>
              <w:right w:w="100" w:type="dxa"/>
            </w:tcMar>
          </w:tcPr>
          <w:p w14:paraId="000000C6" w14:textId="1BC7E865" w:rsidR="00FB42D9" w:rsidRDefault="002432CC">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C7" w14:textId="77777777" w:rsidR="00FB42D9" w:rsidRDefault="00000000">
            <w:pPr>
              <w:pBdr>
                <w:top w:val="nil"/>
                <w:left w:val="nil"/>
                <w:bottom w:val="nil"/>
                <w:right w:val="nil"/>
                <w:between w:val="nil"/>
              </w:pBdr>
              <w:rPr>
                <w:color w:val="98361E"/>
              </w:rPr>
            </w:pPr>
            <w:r>
              <w:rPr>
                <w:color w:val="98361E"/>
              </w:rPr>
              <w:t>X</w:t>
            </w:r>
          </w:p>
        </w:tc>
      </w:tr>
      <w:tr w:rsidR="00FB42D9" w14:paraId="0272D43A" w14:textId="77777777" w:rsidTr="002432CC">
        <w:tc>
          <w:tcPr>
            <w:tcW w:w="2260" w:type="dxa"/>
            <w:tcMar>
              <w:top w:w="100" w:type="dxa"/>
              <w:left w:w="100" w:type="dxa"/>
              <w:bottom w:w="100" w:type="dxa"/>
              <w:right w:w="100" w:type="dxa"/>
            </w:tcMar>
          </w:tcPr>
          <w:p w14:paraId="000000C8" w14:textId="77777777" w:rsidR="00FB42D9" w:rsidRDefault="00000000">
            <w:pPr>
              <w:pBdr>
                <w:top w:val="nil"/>
                <w:left w:val="nil"/>
                <w:bottom w:val="nil"/>
                <w:right w:val="nil"/>
                <w:between w:val="nil"/>
              </w:pBdr>
              <w:rPr>
                <w:color w:val="98361E"/>
              </w:rPr>
            </w:pPr>
            <w:r>
              <w:rPr>
                <w:color w:val="98361E"/>
              </w:rPr>
              <w:t>Visualización</w:t>
            </w:r>
          </w:p>
        </w:tc>
        <w:tc>
          <w:tcPr>
            <w:tcW w:w="2276" w:type="dxa"/>
            <w:tcMar>
              <w:top w:w="100" w:type="dxa"/>
              <w:left w:w="100" w:type="dxa"/>
              <w:bottom w:w="100" w:type="dxa"/>
              <w:right w:w="100" w:type="dxa"/>
            </w:tcMar>
          </w:tcPr>
          <w:p w14:paraId="000000C9" w14:textId="77777777" w:rsidR="00FB42D9" w:rsidRDefault="00000000">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CA" w14:textId="51C2E4FD" w:rsidR="00FB42D9" w:rsidRDefault="00FB42D9">
            <w:pPr>
              <w:pBdr>
                <w:top w:val="nil"/>
                <w:left w:val="nil"/>
                <w:bottom w:val="nil"/>
                <w:right w:val="nil"/>
                <w:between w:val="nil"/>
              </w:pBdr>
              <w:rPr>
                <w:color w:val="98361E"/>
              </w:rPr>
            </w:pPr>
          </w:p>
        </w:tc>
      </w:tr>
      <w:tr w:rsidR="00FB42D9" w14:paraId="0A445E5C" w14:textId="77777777" w:rsidTr="002432CC">
        <w:tc>
          <w:tcPr>
            <w:tcW w:w="2260" w:type="dxa"/>
            <w:tcMar>
              <w:top w:w="100" w:type="dxa"/>
              <w:left w:w="100" w:type="dxa"/>
              <w:bottom w:w="100" w:type="dxa"/>
              <w:right w:w="100" w:type="dxa"/>
            </w:tcMar>
          </w:tcPr>
          <w:p w14:paraId="000000CB" w14:textId="0C6A515D" w:rsidR="00FB42D9" w:rsidRDefault="00000000">
            <w:pPr>
              <w:pBdr>
                <w:top w:val="nil"/>
                <w:left w:val="nil"/>
                <w:bottom w:val="nil"/>
                <w:right w:val="nil"/>
                <w:between w:val="nil"/>
              </w:pBdr>
              <w:rPr>
                <w:color w:val="98361E"/>
              </w:rPr>
            </w:pPr>
            <w:r>
              <w:rPr>
                <w:color w:val="98361E"/>
              </w:rPr>
              <w:t>Redacción</w:t>
            </w:r>
            <w:r w:rsidR="002432CC">
              <w:rPr>
                <w:color w:val="98361E"/>
              </w:rPr>
              <w:t xml:space="preserve"> – Primer manuscrito</w:t>
            </w:r>
          </w:p>
        </w:tc>
        <w:tc>
          <w:tcPr>
            <w:tcW w:w="2276" w:type="dxa"/>
            <w:tcMar>
              <w:top w:w="100" w:type="dxa"/>
              <w:left w:w="100" w:type="dxa"/>
              <w:bottom w:w="100" w:type="dxa"/>
              <w:right w:w="100" w:type="dxa"/>
            </w:tcMar>
          </w:tcPr>
          <w:p w14:paraId="000000CC" w14:textId="79399358" w:rsidR="00FB42D9" w:rsidRDefault="002432CC">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000000CD" w14:textId="3704E57D" w:rsidR="00FB42D9" w:rsidRDefault="002432CC">
            <w:pPr>
              <w:pBdr>
                <w:top w:val="nil"/>
                <w:left w:val="nil"/>
                <w:bottom w:val="nil"/>
                <w:right w:val="nil"/>
                <w:between w:val="nil"/>
              </w:pBdr>
              <w:rPr>
                <w:color w:val="98361E"/>
              </w:rPr>
            </w:pPr>
            <w:r>
              <w:rPr>
                <w:color w:val="98361E"/>
              </w:rPr>
              <w:t>X</w:t>
            </w:r>
          </w:p>
        </w:tc>
      </w:tr>
      <w:tr w:rsidR="002432CC" w14:paraId="7AC53619" w14:textId="77777777" w:rsidTr="002432CC">
        <w:tc>
          <w:tcPr>
            <w:tcW w:w="2260" w:type="dxa"/>
            <w:tcMar>
              <w:top w:w="100" w:type="dxa"/>
              <w:left w:w="100" w:type="dxa"/>
              <w:bottom w:w="100" w:type="dxa"/>
              <w:right w:w="100" w:type="dxa"/>
            </w:tcMar>
          </w:tcPr>
          <w:p w14:paraId="053D60B2" w14:textId="5F12C9C7" w:rsidR="002432CC" w:rsidRDefault="002432CC">
            <w:pPr>
              <w:pBdr>
                <w:top w:val="nil"/>
                <w:left w:val="nil"/>
                <w:bottom w:val="nil"/>
                <w:right w:val="nil"/>
                <w:between w:val="nil"/>
              </w:pBdr>
              <w:rPr>
                <w:color w:val="98361E"/>
              </w:rPr>
            </w:pPr>
            <w:r>
              <w:rPr>
                <w:color w:val="98361E"/>
              </w:rPr>
              <w:t>Redacción – Revisión y edición</w:t>
            </w:r>
          </w:p>
        </w:tc>
        <w:tc>
          <w:tcPr>
            <w:tcW w:w="2276" w:type="dxa"/>
            <w:tcMar>
              <w:top w:w="100" w:type="dxa"/>
              <w:left w:w="100" w:type="dxa"/>
              <w:bottom w:w="100" w:type="dxa"/>
              <w:right w:w="100" w:type="dxa"/>
            </w:tcMar>
          </w:tcPr>
          <w:p w14:paraId="1EB3514D" w14:textId="520086A0" w:rsidR="002432CC" w:rsidRDefault="002432CC">
            <w:pPr>
              <w:pBdr>
                <w:top w:val="nil"/>
                <w:left w:val="nil"/>
                <w:bottom w:val="nil"/>
                <w:right w:val="nil"/>
                <w:between w:val="nil"/>
              </w:pBdr>
              <w:rPr>
                <w:color w:val="98361E"/>
              </w:rPr>
            </w:pPr>
            <w:r>
              <w:rPr>
                <w:color w:val="98361E"/>
              </w:rPr>
              <w:t>X</w:t>
            </w:r>
          </w:p>
        </w:tc>
        <w:tc>
          <w:tcPr>
            <w:tcW w:w="2409" w:type="dxa"/>
            <w:tcMar>
              <w:top w:w="100" w:type="dxa"/>
              <w:left w:w="100" w:type="dxa"/>
              <w:bottom w:w="100" w:type="dxa"/>
              <w:right w:w="100" w:type="dxa"/>
            </w:tcMar>
          </w:tcPr>
          <w:p w14:paraId="6042B922" w14:textId="5F2B2E46" w:rsidR="002432CC" w:rsidRDefault="002432CC">
            <w:pPr>
              <w:pBdr>
                <w:top w:val="nil"/>
                <w:left w:val="nil"/>
                <w:bottom w:val="nil"/>
                <w:right w:val="nil"/>
                <w:between w:val="nil"/>
              </w:pBdr>
              <w:rPr>
                <w:color w:val="98361E"/>
              </w:rPr>
            </w:pPr>
            <w:r>
              <w:rPr>
                <w:color w:val="98361E"/>
              </w:rPr>
              <w:t>X</w:t>
            </w:r>
          </w:p>
        </w:tc>
      </w:tr>
      <w:tr w:rsidR="00FB42D9" w14:paraId="7BE4A61E" w14:textId="77777777" w:rsidTr="002432CC">
        <w:tc>
          <w:tcPr>
            <w:tcW w:w="2260" w:type="dxa"/>
            <w:tcMar>
              <w:top w:w="100" w:type="dxa"/>
              <w:left w:w="100" w:type="dxa"/>
              <w:bottom w:w="100" w:type="dxa"/>
              <w:right w:w="100" w:type="dxa"/>
            </w:tcMar>
          </w:tcPr>
          <w:p w14:paraId="000000CE" w14:textId="77777777" w:rsidR="00FB42D9" w:rsidRDefault="00000000">
            <w:pPr>
              <w:pBdr>
                <w:top w:val="nil"/>
                <w:left w:val="nil"/>
                <w:bottom w:val="nil"/>
                <w:right w:val="nil"/>
                <w:between w:val="nil"/>
              </w:pBdr>
              <w:rPr>
                <w:color w:val="98361E"/>
              </w:rPr>
            </w:pPr>
            <w:r>
              <w:rPr>
                <w:color w:val="98361E"/>
              </w:rPr>
              <w:t>Adquisición de fondos</w:t>
            </w:r>
          </w:p>
        </w:tc>
        <w:tc>
          <w:tcPr>
            <w:tcW w:w="2276" w:type="dxa"/>
            <w:tcMar>
              <w:top w:w="100" w:type="dxa"/>
              <w:left w:w="100" w:type="dxa"/>
              <w:bottom w:w="100" w:type="dxa"/>
              <w:right w:w="100" w:type="dxa"/>
            </w:tcMar>
          </w:tcPr>
          <w:p w14:paraId="000000CF" w14:textId="632DD86A" w:rsidR="00FB42D9" w:rsidRDefault="00FB42D9">
            <w:pPr>
              <w:pBdr>
                <w:top w:val="nil"/>
                <w:left w:val="nil"/>
                <w:bottom w:val="nil"/>
                <w:right w:val="nil"/>
                <w:between w:val="nil"/>
              </w:pBdr>
              <w:rPr>
                <w:color w:val="98361E"/>
              </w:rPr>
            </w:pPr>
          </w:p>
        </w:tc>
        <w:tc>
          <w:tcPr>
            <w:tcW w:w="2409" w:type="dxa"/>
            <w:tcMar>
              <w:top w:w="100" w:type="dxa"/>
              <w:left w:w="100" w:type="dxa"/>
              <w:bottom w:w="100" w:type="dxa"/>
              <w:right w:w="100" w:type="dxa"/>
            </w:tcMar>
          </w:tcPr>
          <w:p w14:paraId="000000D0" w14:textId="03515B72" w:rsidR="00FB42D9" w:rsidRDefault="00FB42D9">
            <w:pPr>
              <w:pBdr>
                <w:top w:val="nil"/>
                <w:left w:val="nil"/>
                <w:bottom w:val="nil"/>
                <w:right w:val="nil"/>
                <w:between w:val="nil"/>
              </w:pBdr>
              <w:rPr>
                <w:color w:val="98361E"/>
              </w:rPr>
            </w:pPr>
          </w:p>
        </w:tc>
      </w:tr>
    </w:tbl>
    <w:p w14:paraId="000000D1" w14:textId="77777777" w:rsidR="00FB42D9" w:rsidRDefault="00FB42D9">
      <w:pPr>
        <w:ind w:left="786"/>
      </w:pPr>
      <w:bookmarkStart w:id="1" w:name="_heading=h.yl0jqvq5lkp6" w:colFirst="0" w:colLast="0"/>
      <w:bookmarkEnd w:id="1"/>
    </w:p>
    <w:p w14:paraId="000000D7" w14:textId="77777777" w:rsidR="00FB42D9"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6644522A" wp14:editId="66111130">
            <wp:extent cx="1137272" cy="400050"/>
            <wp:effectExtent l="0" t="0" r="0" b="0"/>
            <wp:docPr id="25" name="image1.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1.jpg" descr="Description: Macintosh HD:Users:Daniel:Desktop:licenciacc1.png"/>
                    <pic:cNvPicPr preferRelativeResize="0"/>
                  </pic:nvPicPr>
                  <pic:blipFill>
                    <a:blip r:embed="rId11"/>
                    <a:srcRect/>
                    <a:stretch>
                      <a:fillRect/>
                    </a:stretch>
                  </pic:blipFill>
                  <pic:spPr>
                    <a:xfrm>
                      <a:off x="0" y="0"/>
                      <a:ext cx="1137272" cy="400050"/>
                    </a:xfrm>
                    <a:prstGeom prst="rect">
                      <a:avLst/>
                    </a:prstGeom>
                    <a:ln/>
                  </pic:spPr>
                </pic:pic>
              </a:graphicData>
            </a:graphic>
          </wp:inline>
        </w:drawing>
      </w:r>
    </w:p>
    <w:p w14:paraId="000000D8" w14:textId="77777777" w:rsidR="00FB42D9" w:rsidRDefault="00000000">
      <w:pPr>
        <w:widowControl/>
        <w:pBdr>
          <w:top w:val="nil"/>
          <w:left w:val="nil"/>
          <w:bottom w:val="nil"/>
          <w:right w:val="nil"/>
          <w:between w:val="nil"/>
        </w:pBdr>
        <w:spacing w:after="80"/>
        <w:ind w:left="647" w:right="684"/>
        <w:jc w:val="center"/>
        <w:rPr>
          <w:color w:val="000000"/>
          <w:sz w:val="18"/>
          <w:szCs w:val="18"/>
        </w:rPr>
      </w:pPr>
      <w:r>
        <w:rPr>
          <w:color w:val="231F20"/>
          <w:sz w:val="18"/>
          <w:szCs w:val="18"/>
        </w:rPr>
        <w:t>Licencia Creative Commons</w:t>
      </w:r>
    </w:p>
    <w:p w14:paraId="000000DC" w14:textId="6C847558" w:rsidR="00FB42D9" w:rsidRDefault="00000000" w:rsidP="002432CC">
      <w:pPr>
        <w:widowControl/>
        <w:pBdr>
          <w:top w:val="nil"/>
          <w:left w:val="nil"/>
          <w:bottom w:val="nil"/>
          <w:right w:val="nil"/>
          <w:between w:val="nil"/>
        </w:pBdr>
        <w:spacing w:after="80" w:line="285" w:lineRule="auto"/>
        <w:ind w:left="2270" w:right="2309"/>
        <w:jc w:val="center"/>
        <w:rPr>
          <w:color w:val="000000"/>
          <w:sz w:val="18"/>
          <w:szCs w:val="18"/>
        </w:rPr>
      </w:pPr>
      <w:r>
        <w:rPr>
          <w:color w:val="231F20"/>
          <w:sz w:val="18"/>
          <w:szCs w:val="18"/>
        </w:rPr>
        <w:t xml:space="preserve">Miguel Hernández </w:t>
      </w:r>
      <w:proofErr w:type="spellStart"/>
      <w:r>
        <w:rPr>
          <w:color w:val="231F20"/>
          <w:sz w:val="18"/>
          <w:szCs w:val="18"/>
        </w:rPr>
        <w:t>Communication</w:t>
      </w:r>
      <w:proofErr w:type="spellEnd"/>
      <w:r>
        <w:rPr>
          <w:color w:val="231F20"/>
          <w:sz w:val="18"/>
          <w:szCs w:val="18"/>
        </w:rPr>
        <w:t xml:space="preserve"> </w:t>
      </w:r>
      <w:proofErr w:type="spellStart"/>
      <w:r>
        <w:rPr>
          <w:color w:val="231F20"/>
          <w:sz w:val="18"/>
          <w:szCs w:val="18"/>
        </w:rPr>
        <w:t>Journal</w:t>
      </w:r>
      <w:proofErr w:type="spellEnd"/>
      <w:r>
        <w:rPr>
          <w:color w:val="231F20"/>
          <w:sz w:val="18"/>
          <w:szCs w:val="18"/>
        </w:rPr>
        <w:t xml:space="preserve"> mhjournal.org</w:t>
      </w:r>
    </w:p>
    <w:sectPr w:rsidR="00FB42D9">
      <w:headerReference w:type="default" r:id="rId12"/>
      <w:footerReference w:type="default" r:id="rId13"/>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86BAE" w14:textId="77777777" w:rsidR="0064289E" w:rsidRDefault="0064289E">
      <w:r>
        <w:separator/>
      </w:r>
    </w:p>
  </w:endnote>
  <w:endnote w:type="continuationSeparator" w:id="0">
    <w:p w14:paraId="432361E4" w14:textId="77777777" w:rsidR="0064289E" w:rsidRDefault="0064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EB11F2BD-3152-4240-9A33-F118072F22CC}"/>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A9D965F5-85F5-4A89-9987-33CE4980B32B}"/>
    <w:embedBold r:id="rId3" w:fontKey="{603D292B-E2D7-49A8-9FD9-089BB950C8CF}"/>
    <w:embedItalic r:id="rId4" w:fontKey="{13BD4727-25C6-4009-BF39-9C4FC52FD082}"/>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CA7D0B2F-5093-4D6B-ABB5-1CD119144FC6}"/>
  </w:font>
  <w:font w:name="Georgia">
    <w:panose1 w:val="02040502050405020303"/>
    <w:charset w:val="00"/>
    <w:family w:val="roman"/>
    <w:pitch w:val="variable"/>
    <w:sig w:usb0="00000287" w:usb1="00000000" w:usb2="00000000" w:usb3="00000000" w:csb0="0000009F" w:csb1="00000000"/>
    <w:embedRegular r:id="rId6" w:fontKey="{1832D1F6-7461-4A28-ACB8-13A1CDDC5855}"/>
    <w:embedItalic r:id="rId7" w:fontKey="{9F3C43BE-E500-42C2-B5E4-23B298D6B561}"/>
  </w:font>
  <w:font w:name="Arial Narrow">
    <w:panose1 w:val="020B0606020202030204"/>
    <w:charset w:val="00"/>
    <w:family w:val="swiss"/>
    <w:pitch w:val="variable"/>
    <w:sig w:usb0="00000287" w:usb1="00000800" w:usb2="00000000" w:usb3="00000000" w:csb0="0000009F" w:csb1="00000000"/>
    <w:embedRegular r:id="rId8" w:fontKey="{2EAD50F8-5E15-4F0E-9047-3AEB187EFBCC}"/>
  </w:font>
  <w:font w:name="Calibri">
    <w:panose1 w:val="020F0502020204030204"/>
    <w:charset w:val="00"/>
    <w:family w:val="swiss"/>
    <w:pitch w:val="variable"/>
    <w:sig w:usb0="E4002EFF" w:usb1="C200247B" w:usb2="00000009" w:usb3="00000000" w:csb0="000001FF" w:csb1="00000000"/>
    <w:embedRegular r:id="rId9" w:fontKey="{8C5B2362-6E97-41FF-B9AD-A0B544B7E647}"/>
    <w:embedBold r:id="rId10" w:fontKey="{14481723-3CF4-4E52-A981-A4DBBF76C83F}"/>
  </w:font>
  <w:font w:name="Cambria">
    <w:panose1 w:val="02040503050406030204"/>
    <w:charset w:val="00"/>
    <w:family w:val="roman"/>
    <w:pitch w:val="variable"/>
    <w:sig w:usb0="E00006FF" w:usb1="420024FF" w:usb2="02000000" w:usb3="00000000" w:csb0="0000019F" w:csb1="00000000"/>
    <w:embedRegular r:id="rId11" w:fontKey="{1609AF1C-DABC-4974-8C7F-C1DEB1E5F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14FB" w14:textId="77777777" w:rsidR="00C40267" w:rsidRDefault="00C40267">
    <w:pPr>
      <w:pBdr>
        <w:top w:val="nil"/>
        <w:left w:val="nil"/>
        <w:bottom w:val="nil"/>
        <w:right w:val="nil"/>
        <w:between w:val="nil"/>
      </w:pBdr>
      <w:tabs>
        <w:tab w:val="center" w:pos="4252"/>
        <w:tab w:val="right" w:pos="8504"/>
      </w:tabs>
      <w:jc w:val="center"/>
      <w:rPr>
        <w:color w:val="000000"/>
      </w:rPr>
    </w:pPr>
    <w:r>
      <w:rPr>
        <w:color w:val="000000"/>
      </w:rPr>
      <w:t xml:space="preserve">Autor 1: Alma Llerena Fernández. </w:t>
    </w:r>
    <w:hyperlink r:id="rId1" w:history="1">
      <w:r w:rsidRPr="00D62A9D">
        <w:rPr>
          <w:rStyle w:val="Hipervnculo"/>
        </w:rPr>
        <w:t>Alma.llerena@urjc.es</w:t>
      </w:r>
    </w:hyperlink>
    <w:r>
      <w:rPr>
        <w:color w:val="000000"/>
      </w:rPr>
      <w:t xml:space="preserve"> </w:t>
    </w:r>
  </w:p>
  <w:p w14:paraId="000000E0" w14:textId="11AAC107" w:rsidR="00FB42D9" w:rsidRDefault="00C40267">
    <w:pPr>
      <w:pBdr>
        <w:top w:val="nil"/>
        <w:left w:val="nil"/>
        <w:bottom w:val="nil"/>
        <w:right w:val="nil"/>
        <w:between w:val="nil"/>
      </w:pBdr>
      <w:tabs>
        <w:tab w:val="center" w:pos="4252"/>
        <w:tab w:val="right" w:pos="8504"/>
      </w:tabs>
      <w:jc w:val="center"/>
      <w:rPr>
        <w:color w:val="000000"/>
      </w:rPr>
    </w:pPr>
    <w:hyperlink r:id="rId2" w:history="1">
      <w:r w:rsidRPr="00D62A9D">
        <w:rPr>
          <w:rStyle w:val="Hipervnculo"/>
        </w:rPr>
        <w:t>https://orcid.org/0000-0001-8413-9437</w:t>
      </w:r>
    </w:hyperlink>
    <w:r>
      <w:rPr>
        <w:color w:val="000000"/>
      </w:rPr>
      <w:t xml:space="preserve"> Universidad Rey Juan Carlos (España)</w:t>
    </w:r>
  </w:p>
  <w:p w14:paraId="70D8CDF7" w14:textId="77777777" w:rsidR="00C40267" w:rsidRDefault="00C40267">
    <w:pPr>
      <w:pBdr>
        <w:top w:val="nil"/>
        <w:left w:val="nil"/>
        <w:bottom w:val="nil"/>
        <w:right w:val="nil"/>
        <w:between w:val="nil"/>
      </w:pBdr>
      <w:tabs>
        <w:tab w:val="center" w:pos="4252"/>
        <w:tab w:val="right" w:pos="8504"/>
      </w:tabs>
      <w:jc w:val="center"/>
      <w:rPr>
        <w:color w:val="000000"/>
      </w:rPr>
    </w:pPr>
  </w:p>
  <w:p w14:paraId="732431E9" w14:textId="10CE7D71" w:rsidR="00C40267" w:rsidRDefault="00C40267">
    <w:pPr>
      <w:pBdr>
        <w:top w:val="nil"/>
        <w:left w:val="nil"/>
        <w:bottom w:val="nil"/>
        <w:right w:val="nil"/>
        <w:between w:val="nil"/>
      </w:pBdr>
      <w:tabs>
        <w:tab w:val="center" w:pos="4252"/>
        <w:tab w:val="right" w:pos="8504"/>
      </w:tabs>
      <w:jc w:val="center"/>
      <w:rPr>
        <w:color w:val="000000"/>
      </w:rPr>
    </w:pPr>
    <w:r>
      <w:rPr>
        <w:color w:val="000000"/>
      </w:rPr>
      <w:t xml:space="preserve">Autor 2: Víctor Manuel Barbera Hernández. </w:t>
    </w:r>
    <w:hyperlink r:id="rId3" w:history="1">
      <w:r w:rsidRPr="00D62A9D">
        <w:rPr>
          <w:rStyle w:val="Hipervnculo"/>
        </w:rPr>
        <w:t>Victor.barbera@urjc.es</w:t>
      </w:r>
    </w:hyperlink>
    <w:r>
      <w:rPr>
        <w:color w:val="000000"/>
      </w:rPr>
      <w:t xml:space="preserve"> </w:t>
    </w:r>
    <w:hyperlink r:id="rId4" w:history="1">
      <w:r w:rsidRPr="00D62A9D">
        <w:rPr>
          <w:rStyle w:val="Hipervnculo"/>
        </w:rPr>
        <w:t>https://orcid.org/0000-0002-5928-009X</w:t>
      </w:r>
    </w:hyperlink>
    <w:r>
      <w:rPr>
        <w:color w:val="000000"/>
      </w:rPr>
      <w:t xml:space="preserve"> Universidad Rey Juan Carlos (España)</w:t>
    </w:r>
  </w:p>
  <w:p w14:paraId="000000E1" w14:textId="77777777" w:rsidR="00FB42D9" w:rsidRDefault="00FB42D9">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2" w14:textId="77777777" w:rsidR="00FB42D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4A7F4D09" wp14:editId="10BB34A7">
              <wp:simplePos x="0" y="0"/>
              <wp:positionH relativeFrom="column">
                <wp:posOffset>2184400</wp:posOffset>
              </wp:positionH>
              <wp:positionV relativeFrom="paragraph">
                <wp:posOffset>7912100</wp:posOffset>
              </wp:positionV>
              <wp:extent cx="0" cy="12700"/>
              <wp:effectExtent l="0" t="0" r="0" b="0"/>
              <wp:wrapNone/>
              <wp:docPr id="21" name="Conector recto de flecha 21"/>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2184400</wp:posOffset>
              </wp:positionH>
              <wp:positionV relativeFrom="paragraph">
                <wp:posOffset>7912100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78DFB119" wp14:editId="389A0265">
              <wp:simplePos x="0" y="0"/>
              <wp:positionH relativeFrom="column">
                <wp:posOffset>2273300</wp:posOffset>
              </wp:positionH>
              <wp:positionV relativeFrom="paragraph">
                <wp:posOffset>7899400</wp:posOffset>
              </wp:positionV>
              <wp:extent cx="245110" cy="240665"/>
              <wp:effectExtent l="0" t="0" r="0" b="0"/>
              <wp:wrapNone/>
              <wp:docPr id="23" name="Rectángulo 23"/>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3FEC1240" w14:textId="77777777" w:rsidR="00FB42D9" w:rsidRDefault="00000000">
                          <w:pPr>
                            <w:spacing w:before="20"/>
                            <w:ind w:left="60" w:firstLine="6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78DFB119" id="Rectángulo 23" o:spid="_x0000_s1028" style="position:absolute;margin-left:179pt;margin-top:622pt;width:19.3pt;height:18.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" filled="f" stroked="f">
              <v:textbox inset="0,0,0,0">
                <w:txbxContent>
                  <w:p w14:paraId="3FEC1240" w14:textId="77777777" w:rsidR="00FB42D9" w:rsidRDefault="00000000">
                    <w:pPr>
                      <w:spacing w:before="20"/>
                      <w:ind w:left="60" w:firstLine="6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68B5F" w14:textId="77777777" w:rsidR="0064289E" w:rsidRDefault="0064289E">
      <w:r>
        <w:separator/>
      </w:r>
    </w:p>
  </w:footnote>
  <w:footnote w:type="continuationSeparator" w:id="0">
    <w:p w14:paraId="6574BF55" w14:textId="77777777" w:rsidR="0064289E" w:rsidRDefault="00642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E" w14:textId="77777777" w:rsidR="00FB42D9"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37CD5460" wp14:editId="5B2ABCF7">
              <wp:simplePos x="0" y="0"/>
              <wp:positionH relativeFrom="page">
                <wp:posOffset>788353</wp:posOffset>
              </wp:positionH>
              <wp:positionV relativeFrom="page">
                <wp:posOffset>711518</wp:posOffset>
              </wp:positionV>
              <wp:extent cx="4543425" cy="206375"/>
              <wp:effectExtent l="0" t="0" r="0" b="0"/>
              <wp:wrapNone/>
              <wp:docPr id="20" name="Rectángulo 20"/>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68771BD3" w14:textId="77777777" w:rsidR="00FB42D9" w:rsidRDefault="00000000">
                          <w:pPr>
                            <w:spacing w:before="20"/>
                            <w:ind w:left="20" w:firstLine="20"/>
                            <w:textDirection w:val="btLr"/>
                          </w:pPr>
                          <w:proofErr w:type="spellStart"/>
                          <w:r>
                            <w:rPr>
                              <w:rFonts w:ascii="EB Garamond" w:eastAsia="EB Garamond" w:hAnsi="EB Garamond" w:cs="EB Garamond"/>
                              <w:color w:val="D49988"/>
                              <w:sz w:val="20"/>
                              <w:highlight w:val="lightGray"/>
                            </w:rPr>
                            <w:t>MHJournal</w:t>
                          </w:r>
                          <w:proofErr w:type="spellEnd"/>
                          <w:r>
                            <w:rPr>
                              <w:rFonts w:ascii="EB Garamond" w:eastAsia="EB Garamond" w:hAnsi="EB Garamond" w:cs="EB Garamond"/>
                              <w:color w:val="D49988"/>
                              <w:sz w:val="20"/>
                              <w:highlight w:val="lightGray"/>
                            </w:rPr>
                            <w:t xml:space="preserve"> Vol. XX (1) | Año XX - Artículo </w:t>
                          </w:r>
                          <w:proofErr w:type="spellStart"/>
                          <w:r>
                            <w:rPr>
                              <w:rFonts w:ascii="EB Garamond" w:eastAsia="EB Garamond" w:hAnsi="EB Garamond" w:cs="EB Garamond"/>
                              <w:color w:val="D49988"/>
                              <w:sz w:val="20"/>
                              <w:highlight w:val="lightGray"/>
                            </w:rPr>
                            <w:t>nº</w:t>
                          </w:r>
                          <w:proofErr w:type="spellEnd"/>
                          <w:r>
                            <w:rPr>
                              <w:rFonts w:ascii="EB Garamond" w:eastAsia="EB Garamond" w:hAnsi="EB Garamond" w:cs="EB Garamond"/>
                              <w:color w:val="D49988"/>
                              <w:sz w:val="20"/>
                              <w:highlight w:val="lightGray"/>
                            </w:rPr>
                            <w:t xml:space="preserve"> X (XXX) - Páginas XX a XX- mhjournal.org</w:t>
                          </w:r>
                        </w:p>
                      </w:txbxContent>
                    </wps:txbx>
                    <wps:bodyPr spcFirstLastPara="1" wrap="square" lIns="0" tIns="0" rIns="0" bIns="0" anchor="t" anchorCtr="0">
                      <a:noAutofit/>
                    </wps:bodyPr>
                  </wps:wsp>
                </a:graphicData>
              </a:graphic>
            </wp:anchor>
          </w:drawing>
        </mc:Choice>
        <mc:Fallback>
          <w:pict>
            <v:rect w14:anchorId="37CD5460" id="Rectángulo 20" o:spid="_x0000_s1026" style="position:absolute;margin-left:62.1pt;margin-top:56.05pt;width:357.75pt;height:16.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" filled="f" stroked="f">
              <v:textbox inset="0,0,0,0">
                <w:txbxContent>
                  <w:p w14:paraId="68771BD3" w14:textId="77777777" w:rsidR="00FB42D9" w:rsidRDefault="00000000">
                    <w:pPr>
                      <w:spacing w:before="20"/>
                      <w:ind w:left="20" w:firstLine="20"/>
                      <w:textDirection w:val="btLr"/>
                    </w:pPr>
                    <w:proofErr w:type="spellStart"/>
                    <w:r>
                      <w:rPr>
                        <w:rFonts w:ascii="EB Garamond" w:eastAsia="EB Garamond" w:hAnsi="EB Garamond" w:cs="EB Garamond"/>
                        <w:color w:val="D49988"/>
                        <w:sz w:val="20"/>
                        <w:highlight w:val="lightGray"/>
                      </w:rPr>
                      <w:t>MHJournal</w:t>
                    </w:r>
                    <w:proofErr w:type="spellEnd"/>
                    <w:r>
                      <w:rPr>
                        <w:rFonts w:ascii="EB Garamond" w:eastAsia="EB Garamond" w:hAnsi="EB Garamond" w:cs="EB Garamond"/>
                        <w:color w:val="D49988"/>
                        <w:sz w:val="20"/>
                        <w:highlight w:val="lightGray"/>
                      </w:rPr>
                      <w:t xml:space="preserve"> Vol. XX (1) | Año XX - Artículo </w:t>
                    </w:r>
                    <w:proofErr w:type="spellStart"/>
                    <w:r>
                      <w:rPr>
                        <w:rFonts w:ascii="EB Garamond" w:eastAsia="EB Garamond" w:hAnsi="EB Garamond" w:cs="EB Garamond"/>
                        <w:color w:val="D49988"/>
                        <w:sz w:val="20"/>
                        <w:highlight w:val="lightGray"/>
                      </w:rPr>
                      <w:t>nº</w:t>
                    </w:r>
                    <w:proofErr w:type="spellEnd"/>
                    <w:r>
                      <w:rPr>
                        <w:rFonts w:ascii="EB Garamond" w:eastAsia="EB Garamond" w:hAnsi="EB Garamond" w:cs="EB Garamond"/>
                        <w:color w:val="D49988"/>
                        <w:sz w:val="20"/>
                        <w:highlight w:val="lightGray"/>
                      </w:rPr>
                      <w:t xml:space="preserve"> X (XXX) - Páginas XX a XX- mhjournal.org</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F" w14:textId="77777777" w:rsidR="00FB42D9"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9264" behindDoc="1" locked="0" layoutInCell="1" hidden="0" allowOverlap="1" wp14:anchorId="11A0449F" wp14:editId="4C754906">
              <wp:simplePos x="0" y="0"/>
              <wp:positionH relativeFrom="page">
                <wp:posOffset>788353</wp:posOffset>
              </wp:positionH>
              <wp:positionV relativeFrom="page">
                <wp:posOffset>711518</wp:posOffset>
              </wp:positionV>
              <wp:extent cx="4543425" cy="206375"/>
              <wp:effectExtent l="0" t="0" r="0" b="0"/>
              <wp:wrapNone/>
              <wp:docPr id="22" name="Rectángulo 22"/>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33D6E93D" w14:textId="77777777" w:rsidR="00FB42D9" w:rsidRDefault="00000000">
                          <w:pPr>
                            <w:spacing w:before="20"/>
                            <w:ind w:left="20" w:firstLine="20"/>
                            <w:textDirection w:val="btLr"/>
                          </w:pPr>
                          <w:proofErr w:type="spellStart"/>
                          <w:r>
                            <w:rPr>
                              <w:rFonts w:ascii="EB Garamond" w:eastAsia="EB Garamond" w:hAnsi="EB Garamond" w:cs="EB Garamond"/>
                              <w:color w:val="D49988"/>
                              <w:sz w:val="20"/>
                            </w:rPr>
                            <w:t>MHJournal</w:t>
                          </w:r>
                          <w:proofErr w:type="spellEnd"/>
                          <w:r>
                            <w:rPr>
                              <w:rFonts w:ascii="EB Garamond" w:eastAsia="EB Garamond" w:hAnsi="EB Garamond" w:cs="EB Garamond"/>
                              <w:color w:val="D49988"/>
                              <w:sz w:val="20"/>
                            </w:rPr>
                            <w:t xml:space="preserve"> Vol. 14 (1) | Año 2023 - Artículo </w:t>
                          </w:r>
                          <w:proofErr w:type="spellStart"/>
                          <w:r>
                            <w:rPr>
                              <w:rFonts w:ascii="EB Garamond" w:eastAsia="EB Garamond" w:hAnsi="EB Garamond" w:cs="EB Garamond"/>
                              <w:color w:val="D49988"/>
                              <w:sz w:val="20"/>
                            </w:rPr>
                            <w:t>nº</w:t>
                          </w:r>
                          <w:proofErr w:type="spellEnd"/>
                          <w:r>
                            <w:rPr>
                              <w:rFonts w:ascii="EB Garamond" w:eastAsia="EB Garamond" w:hAnsi="EB Garamond" w:cs="EB Garamond"/>
                              <w:color w:val="D49988"/>
                              <w:sz w:val="20"/>
                            </w:rPr>
                            <w:t xml:space="preserve"> 1 (212) - Páginas 19 a 41 - mhjournal.org</w:t>
                          </w:r>
                        </w:p>
                      </w:txbxContent>
                    </wps:txbx>
                    <wps:bodyPr spcFirstLastPara="1" wrap="square" lIns="0" tIns="0" rIns="0" bIns="0" anchor="t" anchorCtr="0">
                      <a:noAutofit/>
                    </wps:bodyPr>
                  </wps:wsp>
                </a:graphicData>
              </a:graphic>
            </wp:anchor>
          </w:drawing>
        </mc:Choice>
        <mc:Fallback>
          <w:pict>
            <v:rect w14:anchorId="11A0449F" id="Rectángulo 22" o:spid="_x0000_s1027" style="position:absolute;margin-left:62.1pt;margin-top:56.05pt;width:357.75pt;height:16.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" filled="f" stroked="f">
              <v:textbox inset="0,0,0,0">
                <w:txbxContent>
                  <w:p w14:paraId="33D6E93D" w14:textId="77777777" w:rsidR="00FB42D9" w:rsidRDefault="00000000">
                    <w:pPr>
                      <w:spacing w:before="20"/>
                      <w:ind w:left="20" w:firstLine="20"/>
                      <w:textDirection w:val="btLr"/>
                    </w:pPr>
                    <w:proofErr w:type="spellStart"/>
                    <w:r>
                      <w:rPr>
                        <w:rFonts w:ascii="EB Garamond" w:eastAsia="EB Garamond" w:hAnsi="EB Garamond" w:cs="EB Garamond"/>
                        <w:color w:val="D49988"/>
                        <w:sz w:val="20"/>
                      </w:rPr>
                      <w:t>MHJournal</w:t>
                    </w:r>
                    <w:proofErr w:type="spellEnd"/>
                    <w:r>
                      <w:rPr>
                        <w:rFonts w:ascii="EB Garamond" w:eastAsia="EB Garamond" w:hAnsi="EB Garamond" w:cs="EB Garamond"/>
                        <w:color w:val="D49988"/>
                        <w:sz w:val="20"/>
                      </w:rPr>
                      <w:t xml:space="preserve"> Vol. 14 (1) | Año 2023 - Artículo </w:t>
                    </w:r>
                    <w:proofErr w:type="spellStart"/>
                    <w:r>
                      <w:rPr>
                        <w:rFonts w:ascii="EB Garamond" w:eastAsia="EB Garamond" w:hAnsi="EB Garamond" w:cs="EB Garamond"/>
                        <w:color w:val="D49988"/>
                        <w:sz w:val="20"/>
                      </w:rPr>
                      <w:t>nº</w:t>
                    </w:r>
                    <w:proofErr w:type="spellEnd"/>
                    <w:r>
                      <w:rPr>
                        <w:rFonts w:ascii="EB Garamond" w:eastAsia="EB Garamond" w:hAnsi="EB Garamond" w:cs="EB Garamond"/>
                        <w:color w:val="D49988"/>
                        <w:sz w:val="20"/>
                      </w:rPr>
                      <w:t xml:space="preserve"> 1 (212) - Páginas 19 a 41 - mhjournal.org</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D77ED"/>
    <w:multiLevelType w:val="hybridMultilevel"/>
    <w:tmpl w:val="1BA8684C"/>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15:restartNumberingAfterBreak="0">
    <w:nsid w:val="34527604"/>
    <w:multiLevelType w:val="multilevel"/>
    <w:tmpl w:val="3BDA7B1E"/>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2" w15:restartNumberingAfterBreak="0">
    <w:nsid w:val="3C444FD0"/>
    <w:multiLevelType w:val="multilevel"/>
    <w:tmpl w:val="5F2C981A"/>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3" w15:restartNumberingAfterBreak="0">
    <w:nsid w:val="3F58516A"/>
    <w:multiLevelType w:val="multilevel"/>
    <w:tmpl w:val="3BDA7B1E"/>
    <w:lvl w:ilvl="0">
      <w:start w:val="1"/>
      <w:numFmt w:val="decimal"/>
      <w:lvlText w:val="%1."/>
      <w:lvlJc w:val="left"/>
      <w:pPr>
        <w:ind w:left="810" w:hanging="150"/>
      </w:pPr>
      <w:rPr>
        <w:rFonts w:ascii="EB Garamond" w:eastAsia="EB Garamond" w:hAnsi="EB Garamond" w:cs="EB Garamond"/>
        <w:b w:val="0"/>
        <w:i w:val="0"/>
        <w:color w:val="808080"/>
        <w:sz w:val="16"/>
        <w:szCs w:val="16"/>
      </w:rPr>
    </w:lvl>
    <w:lvl w:ilvl="1">
      <w:start w:val="1"/>
      <w:numFmt w:val="decimal"/>
      <w:lvlText w:val="%1.%2."/>
      <w:lvlJc w:val="left"/>
      <w:pPr>
        <w:ind w:left="660" w:hanging="263"/>
      </w:pPr>
      <w:rPr>
        <w:rFonts w:ascii="EB Garamond" w:eastAsia="EB Garamond" w:hAnsi="EB Garamond" w:cs="EB Garamond"/>
        <w:b w:val="0"/>
        <w:i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4" w15:restartNumberingAfterBreak="0">
    <w:nsid w:val="4CAB7B1F"/>
    <w:multiLevelType w:val="hybridMultilevel"/>
    <w:tmpl w:val="5AAA9A70"/>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51A55B99"/>
    <w:multiLevelType w:val="hybridMultilevel"/>
    <w:tmpl w:val="68B0B7EE"/>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15:restartNumberingAfterBreak="0">
    <w:nsid w:val="55CC3925"/>
    <w:multiLevelType w:val="multilevel"/>
    <w:tmpl w:val="2232628A"/>
    <w:lvl w:ilvl="0">
      <w:start w:val="1"/>
      <w:numFmt w:val="decimal"/>
      <w:lvlText w:val="%1."/>
      <w:lvlJc w:val="left"/>
      <w:pPr>
        <w:ind w:left="786" w:hanging="360"/>
      </w:pPr>
      <w:rPr>
        <w:rFonts w:ascii="Arial" w:eastAsia="Arial" w:hAnsi="Arial" w:cs="Arial"/>
        <w:b/>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290399320">
    <w:abstractNumId w:val="2"/>
  </w:num>
  <w:num w:numId="2" w16cid:durableId="1670017908">
    <w:abstractNumId w:val="3"/>
  </w:num>
  <w:num w:numId="3" w16cid:durableId="1700088830">
    <w:abstractNumId w:val="6"/>
  </w:num>
  <w:num w:numId="4" w16cid:durableId="1247567120">
    <w:abstractNumId w:val="1"/>
  </w:num>
  <w:num w:numId="5" w16cid:durableId="1168322458">
    <w:abstractNumId w:val="5"/>
  </w:num>
  <w:num w:numId="6" w16cid:durableId="666831265">
    <w:abstractNumId w:val="0"/>
  </w:num>
  <w:num w:numId="7" w16cid:durableId="381709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2D9"/>
    <w:rsid w:val="00003072"/>
    <w:rsid w:val="000034D0"/>
    <w:rsid w:val="00045F95"/>
    <w:rsid w:val="0005554C"/>
    <w:rsid w:val="000F5E6D"/>
    <w:rsid w:val="00173D32"/>
    <w:rsid w:val="001C2684"/>
    <w:rsid w:val="00241B4C"/>
    <w:rsid w:val="002432CC"/>
    <w:rsid w:val="00247220"/>
    <w:rsid w:val="00286FBF"/>
    <w:rsid w:val="00321374"/>
    <w:rsid w:val="00361C05"/>
    <w:rsid w:val="00370294"/>
    <w:rsid w:val="00395D1D"/>
    <w:rsid w:val="00404854"/>
    <w:rsid w:val="004512D8"/>
    <w:rsid w:val="00477427"/>
    <w:rsid w:val="00514DF0"/>
    <w:rsid w:val="0053392B"/>
    <w:rsid w:val="00572AAE"/>
    <w:rsid w:val="006060AB"/>
    <w:rsid w:val="0064289E"/>
    <w:rsid w:val="00657A4E"/>
    <w:rsid w:val="00716F33"/>
    <w:rsid w:val="00723A3D"/>
    <w:rsid w:val="00745EC8"/>
    <w:rsid w:val="007B5CBE"/>
    <w:rsid w:val="007C0977"/>
    <w:rsid w:val="007C158E"/>
    <w:rsid w:val="008B3EE1"/>
    <w:rsid w:val="008D6041"/>
    <w:rsid w:val="009A7955"/>
    <w:rsid w:val="00A30192"/>
    <w:rsid w:val="00A55A83"/>
    <w:rsid w:val="00B45566"/>
    <w:rsid w:val="00BB296C"/>
    <w:rsid w:val="00BC51E3"/>
    <w:rsid w:val="00C26F0D"/>
    <w:rsid w:val="00C40267"/>
    <w:rsid w:val="00C47B35"/>
    <w:rsid w:val="00C55CD1"/>
    <w:rsid w:val="00D1138E"/>
    <w:rsid w:val="00D264C2"/>
    <w:rsid w:val="00D562BA"/>
    <w:rsid w:val="00DD4045"/>
    <w:rsid w:val="00DE594E"/>
    <w:rsid w:val="00E16D35"/>
    <w:rsid w:val="00F605A0"/>
    <w:rsid w:val="00FA21F5"/>
    <w:rsid w:val="00FB42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817D6"/>
  <w15:docId w15:val="{16703B86-BC10-436F-8A41-60EDA220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17"/>
      <w:ind w:left="638" w:right="736"/>
    </w:pPr>
    <w:rPr>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C40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137276">
      <w:bodyDiv w:val="1"/>
      <w:marLeft w:val="0"/>
      <w:marRight w:val="0"/>
      <w:marTop w:val="0"/>
      <w:marBottom w:val="0"/>
      <w:divBdr>
        <w:top w:val="none" w:sz="0" w:space="0" w:color="auto"/>
        <w:left w:val="none" w:sz="0" w:space="0" w:color="auto"/>
        <w:bottom w:val="none" w:sz="0" w:space="0" w:color="auto"/>
        <w:right w:val="none" w:sz="0" w:space="0" w:color="auto"/>
      </w:divBdr>
    </w:div>
    <w:div w:id="882712051">
      <w:bodyDiv w:val="1"/>
      <w:marLeft w:val="0"/>
      <w:marRight w:val="0"/>
      <w:marTop w:val="0"/>
      <w:marBottom w:val="0"/>
      <w:divBdr>
        <w:top w:val="none" w:sz="0" w:space="0" w:color="auto"/>
        <w:left w:val="none" w:sz="0" w:space="0" w:color="auto"/>
        <w:bottom w:val="none" w:sz="0" w:space="0" w:color="auto"/>
        <w:right w:val="none" w:sz="0" w:space="0" w:color="auto"/>
      </w:divBdr>
    </w:div>
    <w:div w:id="1523280515">
      <w:bodyDiv w:val="1"/>
      <w:marLeft w:val="0"/>
      <w:marRight w:val="0"/>
      <w:marTop w:val="0"/>
      <w:marBottom w:val="0"/>
      <w:divBdr>
        <w:top w:val="none" w:sz="0" w:space="0" w:color="auto"/>
        <w:left w:val="none" w:sz="0" w:space="0" w:color="auto"/>
        <w:bottom w:val="none" w:sz="0" w:space="0" w:color="auto"/>
        <w:right w:val="none" w:sz="0" w:space="0" w:color="auto"/>
      </w:divBdr>
    </w:div>
    <w:div w:id="1922834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Victor.barbera@urjc.es" TargetMode="External"/><Relationship Id="rId2" Type="http://schemas.openxmlformats.org/officeDocument/2006/relationships/hyperlink" Target="https://orcid.org/0000-0001-8413-9437" TargetMode="External"/><Relationship Id="rId1" Type="http://schemas.openxmlformats.org/officeDocument/2006/relationships/hyperlink" Target="mailto:Alma.llerena@urjc.es" TargetMode="External"/><Relationship Id="rId4" Type="http://schemas.openxmlformats.org/officeDocument/2006/relationships/hyperlink" Target="https://orcid.org/0000-0002-5928-009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LBqc4SJp5cb0Q3mlGT3QcRHdg==">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Pages>
  <Words>7301</Words>
  <Characters>40161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Universidad Rey Juan Carlos</Company>
  <LinksUpToDate>false</LinksUpToDate>
  <CharactersWithSpaces>47368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Montserrat</dc:creator>
  <cp:lastModifiedBy>Alma Llerena Fernández</cp:lastModifiedBy>
  <cp:revision>11</cp:revision>
  <dcterms:created xsi:type="dcterms:W3CDTF">2026-02-16T15:51:00Z</dcterms:created>
  <dcterms:modified xsi:type="dcterms:W3CDTF">2026-02-25T09:07:00Z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2023-01-31T00:00:00Z</vt:filetime>
  </property>
  <property fmtid="{D5CDD505-2E9C-101B-9397-08002B2CF9AE}" pid="3" name="Creator">
    <vt:lpwstr>Adobe InDesign 18.1 (Windows)</vt:lpwstr>
  </property>
  <property fmtid="{D5CDD505-2E9C-101B-9397-08002B2CF9AE}" pid="4" name="LastSaved">
    <vt:filetime>2023-01-31T00:00:00Z</vt:filetime>
  </property>
  <property fmtid="{D5CDD505-2E9C-101B-9397-08002B2CF9AE}" pid="5" name="Producer">
    <vt:lpwstr>Adobe PDF Library 17.0</vt:lpwstr>
  </property>
</Properties>
</file>