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F6E30" w14:textId="77777777" w:rsidR="00083156" w:rsidRPr="00BD62E7" w:rsidRDefault="00000000">
      <w:pPr>
        <w:widowControl/>
        <w:spacing w:before="120" w:line="324" w:lineRule="auto"/>
        <w:ind w:left="4708" w:right="1059"/>
        <w:rPr>
          <w:rFonts w:ascii="EB Garamond" w:eastAsia="EB Garamond" w:hAnsi="EB Garamond" w:cs="EB Garamond"/>
          <w:sz w:val="16"/>
          <w:szCs w:val="16"/>
          <w:lang w:val="en-GB"/>
        </w:rPr>
      </w:pPr>
      <w:r w:rsidRPr="00BD62E7">
        <w:rPr>
          <w:rFonts w:ascii="EB Garamond" w:eastAsia="EB Garamond" w:hAnsi="EB Garamond" w:cs="EB Garamond"/>
          <w:color w:val="808080"/>
          <w:sz w:val="16"/>
          <w:szCs w:val="16"/>
          <w:lang w:val="en-GB"/>
        </w:rPr>
        <w:t>Submitted: 04/08/2025 Approved: 04/11/2025</w:t>
      </w:r>
      <w:r>
        <w:rPr>
          <w:noProof/>
        </w:rPr>
        <w:drawing>
          <wp:anchor distT="0" distB="0" distL="0" distR="0" simplePos="0" relativeHeight="251658240" behindDoc="0" locked="0" layoutInCell="1" hidden="0" allowOverlap="1" wp14:anchorId="41D8AC83" wp14:editId="305EF0E9">
            <wp:simplePos x="0" y="0"/>
            <wp:positionH relativeFrom="column">
              <wp:posOffset>273050</wp:posOffset>
            </wp:positionH>
            <wp:positionV relativeFrom="paragraph">
              <wp:posOffset>209550</wp:posOffset>
            </wp:positionV>
            <wp:extent cx="1924913" cy="473114"/>
            <wp:effectExtent l="0" t="0" r="0" b="0"/>
            <wp:wrapNone/>
            <wp:docPr id="1366998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r>
        <w:rPr>
          <w:noProof/>
        </w:rPr>
        <w:drawing>
          <wp:anchor distT="0" distB="0" distL="0" distR="0" simplePos="0" relativeHeight="251659264" behindDoc="0" locked="0" layoutInCell="1" hidden="0" allowOverlap="1" wp14:anchorId="454CF3E2" wp14:editId="34350BC1">
            <wp:simplePos x="0" y="0"/>
            <wp:positionH relativeFrom="column">
              <wp:posOffset>273050</wp:posOffset>
            </wp:positionH>
            <wp:positionV relativeFrom="paragraph">
              <wp:posOffset>209550</wp:posOffset>
            </wp:positionV>
            <wp:extent cx="1924913" cy="473114"/>
            <wp:effectExtent l="0" t="0" r="0" b="0"/>
            <wp:wrapNone/>
            <wp:docPr id="13669988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51A30D6A" w14:textId="77777777" w:rsidR="00083156" w:rsidRPr="00BD62E7" w:rsidRDefault="00000000">
      <w:pPr>
        <w:widowControl/>
        <w:spacing w:before="1"/>
        <w:ind w:left="4708"/>
        <w:rPr>
          <w:rFonts w:ascii="EB Garamond" w:eastAsia="EB Garamond" w:hAnsi="EB Garamond" w:cs="EB Garamond"/>
          <w:sz w:val="16"/>
          <w:szCs w:val="16"/>
          <w:lang w:val="en-GB"/>
        </w:rPr>
      </w:pPr>
      <w:r w:rsidRPr="00BD62E7">
        <w:rPr>
          <w:rFonts w:ascii="EB Garamond" w:eastAsia="EB Garamond" w:hAnsi="EB Garamond" w:cs="EB Garamond"/>
          <w:color w:val="808080"/>
          <w:sz w:val="16"/>
          <w:szCs w:val="16"/>
          <w:lang w:val="en-GB"/>
        </w:rPr>
        <w:t>Published: 30/01/2026</w:t>
      </w:r>
    </w:p>
    <w:p w14:paraId="77467D83" w14:textId="77777777" w:rsidR="00083156" w:rsidRPr="00BD62E7" w:rsidRDefault="00083156">
      <w:pPr>
        <w:widowControl/>
        <w:spacing w:before="39" w:line="252" w:lineRule="auto"/>
        <w:ind w:right="370"/>
        <w:rPr>
          <w:rFonts w:ascii="Arial Narrow" w:eastAsia="Arial Narrow" w:hAnsi="Arial Narrow" w:cs="Arial Narrow"/>
          <w:color w:val="231F20"/>
          <w:sz w:val="30"/>
          <w:szCs w:val="30"/>
          <w:lang w:val="en-GB"/>
        </w:rPr>
      </w:pPr>
    </w:p>
    <w:p w14:paraId="6649FAE8" w14:textId="77777777" w:rsidR="00083156" w:rsidRPr="00BD62E7" w:rsidRDefault="00000000">
      <w:pPr>
        <w:widowControl/>
        <w:spacing w:before="39" w:line="252" w:lineRule="auto"/>
        <w:ind w:right="370"/>
        <w:rPr>
          <w:rFonts w:ascii="Arial Narrow" w:eastAsia="Arial Narrow" w:hAnsi="Arial Narrow" w:cs="Arial Narrow"/>
          <w:color w:val="231F20"/>
          <w:sz w:val="30"/>
          <w:szCs w:val="30"/>
          <w:lang w:val="en-GB"/>
        </w:rPr>
      </w:pPr>
      <w:r w:rsidRPr="00BD62E7">
        <w:rPr>
          <w:rFonts w:ascii="Arial Narrow" w:eastAsia="Arial Narrow" w:hAnsi="Arial Narrow" w:cs="Arial Narrow"/>
          <w:color w:val="231F20"/>
          <w:sz w:val="30"/>
          <w:szCs w:val="30"/>
          <w:lang w:val="en-GB"/>
        </w:rPr>
        <w:t>Crime on demand: formats, narratives, and gender representation in Spanish true crime for VOD platforms (2016–2025)</w:t>
      </w:r>
    </w:p>
    <w:p w14:paraId="3F2B7AE9" w14:textId="77777777" w:rsidR="00083156" w:rsidRPr="00BD62E7" w:rsidRDefault="00083156">
      <w:pPr>
        <w:widowControl/>
        <w:spacing w:before="39" w:line="252" w:lineRule="auto"/>
        <w:ind w:right="370"/>
        <w:rPr>
          <w:rFonts w:ascii="Arial Narrow" w:eastAsia="Arial Narrow" w:hAnsi="Arial Narrow" w:cs="Arial Narrow"/>
          <w:color w:val="231F20"/>
          <w:sz w:val="30"/>
          <w:szCs w:val="30"/>
          <w:lang w:val="en-GB"/>
        </w:rPr>
      </w:pPr>
    </w:p>
    <w:p w14:paraId="02171451" w14:textId="77777777" w:rsidR="00083156" w:rsidRPr="00BD62E7" w:rsidRDefault="00000000">
      <w:pPr>
        <w:widowControl/>
        <w:spacing w:before="80"/>
        <w:ind w:left="426" w:right="370"/>
        <w:rPr>
          <w:sz w:val="16"/>
          <w:szCs w:val="16"/>
          <w:lang w:val="pt-BR"/>
        </w:rPr>
      </w:pPr>
      <w:proofErr w:type="spellStart"/>
      <w:r w:rsidRPr="00BD62E7">
        <w:rPr>
          <w:color w:val="8E1400"/>
          <w:sz w:val="16"/>
          <w:szCs w:val="16"/>
          <w:lang w:val="pt-BR"/>
        </w:rPr>
        <w:t>Patricia</w:t>
      </w:r>
      <w:proofErr w:type="spellEnd"/>
      <w:r w:rsidRPr="00BD62E7">
        <w:rPr>
          <w:color w:val="8E1400"/>
          <w:sz w:val="16"/>
          <w:szCs w:val="16"/>
          <w:lang w:val="pt-BR"/>
        </w:rPr>
        <w:t xml:space="preserve"> Palomares-Sánchez</w:t>
      </w:r>
      <w:r w:rsidRPr="00BD62E7">
        <w:rPr>
          <w:sz w:val="16"/>
          <w:szCs w:val="16"/>
          <w:lang w:val="pt-BR"/>
        </w:rPr>
        <w:t>| patricia.palomares@ua.es |</w:t>
      </w:r>
      <w:r>
        <w:rPr>
          <w:noProof/>
        </w:rPr>
        <mc:AlternateContent>
          <mc:Choice Requires="wps">
            <w:drawing>
              <wp:anchor distT="4445" distB="4445" distL="4445" distR="4445" simplePos="0" relativeHeight="251660288" behindDoc="0" locked="0" layoutInCell="1" hidden="0" allowOverlap="1" wp14:anchorId="7210BF1B" wp14:editId="07806067">
                <wp:simplePos x="0" y="0"/>
                <wp:positionH relativeFrom="column">
                  <wp:posOffset>2572024</wp:posOffset>
                </wp:positionH>
                <wp:positionV relativeFrom="paragraph">
                  <wp:posOffset>86678</wp:posOffset>
                </wp:positionV>
                <wp:extent cx="2106339" cy="1233980"/>
                <wp:effectExtent l="0" t="0" r="0" b="0"/>
                <wp:wrapNone/>
                <wp:docPr id="136699884" name="Rectángulo 136699884"/>
                <wp:cNvGraphicFramePr/>
                <a:graphic xmlns:a="http://schemas.openxmlformats.org/drawingml/2006/main">
                  <a:graphicData uri="http://schemas.microsoft.com/office/word/2010/wordprocessingShape">
                    <wps:wsp>
                      <wps:cNvSpPr/>
                      <wps:spPr>
                        <a:xfrm>
                          <a:off x="4297593" y="3167773"/>
                          <a:ext cx="2096814" cy="1224455"/>
                        </a:xfrm>
                        <a:prstGeom prst="rect">
                          <a:avLst/>
                        </a:prstGeom>
                        <a:solidFill>
                          <a:schemeClr val="lt1"/>
                        </a:solidFill>
                        <a:ln w="9525" cap="flat" cmpd="sng">
                          <a:solidFill>
                            <a:srgbClr val="C00000"/>
                          </a:solidFill>
                          <a:prstDash val="solid"/>
                          <a:round/>
                          <a:headEnd type="none" w="sm" len="sm"/>
                          <a:tailEnd type="none" w="sm" len="sm"/>
                        </a:ln>
                      </wps:spPr>
                      <wps:txbx>
                        <w:txbxContent>
                          <w:p w14:paraId="061EAC2A" w14:textId="77777777" w:rsidR="00083156" w:rsidRDefault="00000000">
                            <w:pPr>
                              <w:spacing w:before="20" w:line="283" w:lineRule="auto"/>
                              <w:ind w:left="20" w:firstLine="40"/>
                              <w:textDirection w:val="btLr"/>
                            </w:pPr>
                            <w:r>
                              <w:rPr>
                                <w:b/>
                                <w:color w:val="231F20"/>
                                <w:sz w:val="16"/>
                              </w:rPr>
                              <w:t xml:space="preserve">How </w:t>
                            </w:r>
                            <w:proofErr w:type="spellStart"/>
                            <w:r>
                              <w:rPr>
                                <w:b/>
                                <w:color w:val="231F20"/>
                                <w:sz w:val="16"/>
                              </w:rPr>
                              <w:t>to</w:t>
                            </w:r>
                            <w:proofErr w:type="spellEnd"/>
                            <w:r>
                              <w:rPr>
                                <w:b/>
                                <w:color w:val="231F20"/>
                                <w:sz w:val="16"/>
                              </w:rPr>
                              <w:t xml:space="preserve"> cite </w:t>
                            </w:r>
                            <w:proofErr w:type="spellStart"/>
                            <w:r>
                              <w:rPr>
                                <w:b/>
                                <w:color w:val="231F20"/>
                                <w:sz w:val="16"/>
                              </w:rPr>
                              <w:t>this</w:t>
                            </w:r>
                            <w:proofErr w:type="spellEnd"/>
                            <w:r>
                              <w:rPr>
                                <w:b/>
                                <w:color w:val="231F20"/>
                                <w:sz w:val="16"/>
                              </w:rPr>
                              <w:t xml:space="preserve"> </w:t>
                            </w:r>
                            <w:proofErr w:type="spellStart"/>
                            <w:r>
                              <w:rPr>
                                <w:b/>
                                <w:color w:val="231F20"/>
                                <w:sz w:val="16"/>
                              </w:rPr>
                              <w:t>text</w:t>
                            </w:r>
                            <w:proofErr w:type="spellEnd"/>
                            <w:r>
                              <w:rPr>
                                <w:b/>
                                <w:color w:val="231F20"/>
                                <w:sz w:val="16"/>
                              </w:rPr>
                              <w:t xml:space="preserve">: </w:t>
                            </w:r>
                            <w:r>
                              <w:rPr>
                                <w:color w:val="231F20"/>
                                <w:sz w:val="16"/>
                              </w:rPr>
                              <w:t xml:space="preserve">Patricia Palomares-Sánchez &amp; Jorge Abad-Pérez (2026): Crímenes a la carta: formatos, narrativas y representación de género en el true </w:t>
                            </w:r>
                            <w:proofErr w:type="spellStart"/>
                            <w:r>
                              <w:rPr>
                                <w:color w:val="231F20"/>
                                <w:sz w:val="16"/>
                              </w:rPr>
                              <w:t>crime</w:t>
                            </w:r>
                            <w:proofErr w:type="spellEnd"/>
                            <w:r>
                              <w:rPr>
                                <w:color w:val="231F20"/>
                                <w:sz w:val="16"/>
                              </w:rPr>
                              <w:t xml:space="preserve"> español para plataformas de VOD (2016-2025), en </w:t>
                            </w:r>
                            <w:r>
                              <w:rPr>
                                <w:i/>
                                <w:color w:val="231F20"/>
                                <w:sz w:val="16"/>
                              </w:rPr>
                              <w:t xml:space="preserve">Miguel Hernández </w:t>
                            </w:r>
                            <w:proofErr w:type="spellStart"/>
                            <w:r>
                              <w:rPr>
                                <w:i/>
                                <w:color w:val="231F20"/>
                                <w:sz w:val="16"/>
                              </w:rPr>
                              <w:t>Communication</w:t>
                            </w:r>
                            <w:proofErr w:type="spellEnd"/>
                            <w:r>
                              <w:rPr>
                                <w:i/>
                                <w:color w:val="231F20"/>
                                <w:sz w:val="16"/>
                              </w:rPr>
                              <w:t xml:space="preserve"> </w:t>
                            </w:r>
                            <w:proofErr w:type="spellStart"/>
                            <w:r>
                              <w:rPr>
                                <w:i/>
                                <w:color w:val="231F20"/>
                                <w:sz w:val="16"/>
                              </w:rPr>
                              <w:t>Journal</w:t>
                            </w:r>
                            <w:proofErr w:type="spellEnd"/>
                            <w:r>
                              <w:rPr>
                                <w:color w:val="231F20"/>
                                <w:sz w:val="16"/>
                              </w:rPr>
                              <w:t>, Vol. 17 (1), pp. 59 a 79. Universidad Miguel Hernández, UMH (Elche-Alicante). DOI:  10.21134/r09qjt46</w:t>
                            </w:r>
                          </w:p>
                        </w:txbxContent>
                      </wps:txbx>
                      <wps:bodyPr spcFirstLastPara="1" wrap="square" lIns="91425" tIns="45700" rIns="91425" bIns="45700" anchor="t" anchorCtr="0">
                        <a:noAutofit/>
                      </wps:bodyPr>
                    </wps:wsp>
                  </a:graphicData>
                </a:graphic>
              </wp:anchor>
            </w:drawing>
          </mc:Choice>
          <mc:Fallback>
            <w:pict>
              <v:rect w14:anchorId="7210BF1B" id="Rectángulo 136699884" o:spid="_x0000_s1026" style="position:absolute;left:0;text-align:left;margin-left:202.5pt;margin-top:6.85pt;width:165.85pt;height:97.15pt;z-index:251660288;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" fillcolor="white [3201]" strokecolor="#c00000">
                <v:stroke startarrowwidth="narrow" startarrowlength="short" endarrowwidth="narrow" endarrowlength="short" joinstyle="round"/>
                <v:textbox inset="2.53958mm,1.2694mm,2.53958mm,1.2694mm">
                  <w:txbxContent>
                    <w:p w14:paraId="061EAC2A" w14:textId="77777777" w:rsidR="00083156" w:rsidRDefault="00000000">
                      <w:pPr>
                        <w:spacing w:before="20" w:line="283" w:lineRule="auto"/>
                        <w:ind w:left="20" w:firstLine="40"/>
                        <w:textDirection w:val="btLr"/>
                      </w:pPr>
                      <w:r>
                        <w:rPr>
                          <w:b/>
                          <w:color w:val="231F20"/>
                          <w:sz w:val="16"/>
                        </w:rPr>
                        <w:t xml:space="preserve">How </w:t>
                      </w:r>
                      <w:proofErr w:type="spellStart"/>
                      <w:r>
                        <w:rPr>
                          <w:b/>
                          <w:color w:val="231F20"/>
                          <w:sz w:val="16"/>
                        </w:rPr>
                        <w:t>to</w:t>
                      </w:r>
                      <w:proofErr w:type="spellEnd"/>
                      <w:r>
                        <w:rPr>
                          <w:b/>
                          <w:color w:val="231F20"/>
                          <w:sz w:val="16"/>
                        </w:rPr>
                        <w:t xml:space="preserve"> cite </w:t>
                      </w:r>
                      <w:proofErr w:type="spellStart"/>
                      <w:r>
                        <w:rPr>
                          <w:b/>
                          <w:color w:val="231F20"/>
                          <w:sz w:val="16"/>
                        </w:rPr>
                        <w:t>this</w:t>
                      </w:r>
                      <w:proofErr w:type="spellEnd"/>
                      <w:r>
                        <w:rPr>
                          <w:b/>
                          <w:color w:val="231F20"/>
                          <w:sz w:val="16"/>
                        </w:rPr>
                        <w:t xml:space="preserve"> </w:t>
                      </w:r>
                      <w:proofErr w:type="spellStart"/>
                      <w:r>
                        <w:rPr>
                          <w:b/>
                          <w:color w:val="231F20"/>
                          <w:sz w:val="16"/>
                        </w:rPr>
                        <w:t>text</w:t>
                      </w:r>
                      <w:proofErr w:type="spellEnd"/>
                      <w:r>
                        <w:rPr>
                          <w:b/>
                          <w:color w:val="231F20"/>
                          <w:sz w:val="16"/>
                        </w:rPr>
                        <w:t xml:space="preserve">: </w:t>
                      </w:r>
                      <w:r>
                        <w:rPr>
                          <w:color w:val="231F20"/>
                          <w:sz w:val="16"/>
                        </w:rPr>
                        <w:t xml:space="preserve">Patricia Palomares-Sánchez &amp; Jorge Abad-Pérez (2026): Crímenes a la carta: formatos, narrativas y representación de género en el true </w:t>
                      </w:r>
                      <w:proofErr w:type="spellStart"/>
                      <w:r>
                        <w:rPr>
                          <w:color w:val="231F20"/>
                          <w:sz w:val="16"/>
                        </w:rPr>
                        <w:t>crime</w:t>
                      </w:r>
                      <w:proofErr w:type="spellEnd"/>
                      <w:r>
                        <w:rPr>
                          <w:color w:val="231F20"/>
                          <w:sz w:val="16"/>
                        </w:rPr>
                        <w:t xml:space="preserve"> español para plataformas de VOD (2016-2025), en </w:t>
                      </w:r>
                      <w:r>
                        <w:rPr>
                          <w:i/>
                          <w:color w:val="231F20"/>
                          <w:sz w:val="16"/>
                        </w:rPr>
                        <w:t xml:space="preserve">Miguel Hernández </w:t>
                      </w:r>
                      <w:proofErr w:type="spellStart"/>
                      <w:r>
                        <w:rPr>
                          <w:i/>
                          <w:color w:val="231F20"/>
                          <w:sz w:val="16"/>
                        </w:rPr>
                        <w:t>Communication</w:t>
                      </w:r>
                      <w:proofErr w:type="spellEnd"/>
                      <w:r>
                        <w:rPr>
                          <w:i/>
                          <w:color w:val="231F20"/>
                          <w:sz w:val="16"/>
                        </w:rPr>
                        <w:t xml:space="preserve"> </w:t>
                      </w:r>
                      <w:proofErr w:type="spellStart"/>
                      <w:r>
                        <w:rPr>
                          <w:i/>
                          <w:color w:val="231F20"/>
                          <w:sz w:val="16"/>
                        </w:rPr>
                        <w:t>Journal</w:t>
                      </w:r>
                      <w:proofErr w:type="spellEnd"/>
                      <w:r>
                        <w:rPr>
                          <w:color w:val="231F20"/>
                          <w:sz w:val="16"/>
                        </w:rPr>
                        <w:t>, Vol. 17 (1), pp. 59 a 79. Universidad Miguel Hernández, UMH (Elche-Alicante). DOI:  10.21134/r09qjt46</w:t>
                      </w:r>
                    </w:p>
                  </w:txbxContent>
                </v:textbox>
              </v:rect>
            </w:pict>
          </mc:Fallback>
        </mc:AlternateContent>
      </w:r>
    </w:p>
    <w:p w14:paraId="4A730878" w14:textId="77777777" w:rsidR="00083156" w:rsidRDefault="00000000">
      <w:pPr>
        <w:widowControl/>
        <w:spacing w:before="80"/>
        <w:ind w:left="426" w:right="370"/>
        <w:rPr>
          <w:sz w:val="16"/>
          <w:szCs w:val="16"/>
        </w:rPr>
      </w:pPr>
      <w:hyperlink r:id="rId9">
        <w:r>
          <w:rPr>
            <w:color w:val="0000FF"/>
            <w:sz w:val="16"/>
            <w:szCs w:val="16"/>
            <w:u w:val="single"/>
          </w:rPr>
          <w:t>https://orcid.org/0000-0001-7566-4125</w:t>
        </w:r>
      </w:hyperlink>
    </w:p>
    <w:p w14:paraId="3A18C168" w14:textId="630B725E" w:rsidR="00083156" w:rsidRDefault="00000000">
      <w:pPr>
        <w:widowControl/>
        <w:spacing w:before="80"/>
        <w:ind w:left="426" w:right="370"/>
        <w:rPr>
          <w:color w:val="822108"/>
          <w:sz w:val="20"/>
          <w:szCs w:val="20"/>
          <w:highlight w:val="yellow"/>
        </w:rPr>
      </w:pPr>
      <w:r>
        <w:rPr>
          <w:sz w:val="16"/>
          <w:szCs w:val="16"/>
        </w:rPr>
        <w:t xml:space="preserve">Alicante </w:t>
      </w:r>
      <w:proofErr w:type="spellStart"/>
      <w:r w:rsidR="00BD62E7">
        <w:rPr>
          <w:sz w:val="16"/>
          <w:szCs w:val="16"/>
        </w:rPr>
        <w:t>University</w:t>
      </w:r>
      <w:proofErr w:type="spellEnd"/>
      <w:r w:rsidR="00BD62E7">
        <w:rPr>
          <w:sz w:val="16"/>
          <w:szCs w:val="16"/>
        </w:rPr>
        <w:t xml:space="preserve"> </w:t>
      </w:r>
      <w:r>
        <w:rPr>
          <w:sz w:val="16"/>
          <w:szCs w:val="16"/>
        </w:rPr>
        <w:t>(</w:t>
      </w:r>
      <w:r w:rsidR="00BD62E7">
        <w:rPr>
          <w:sz w:val="16"/>
          <w:szCs w:val="16"/>
        </w:rPr>
        <w:t>Spain</w:t>
      </w:r>
      <w:r>
        <w:rPr>
          <w:sz w:val="16"/>
          <w:szCs w:val="16"/>
        </w:rPr>
        <w:t>)</w:t>
      </w:r>
    </w:p>
    <w:p w14:paraId="62C08D25" w14:textId="77777777" w:rsidR="00083156" w:rsidRPr="00BD62E7" w:rsidRDefault="00000000">
      <w:pPr>
        <w:widowControl/>
        <w:spacing w:before="80"/>
        <w:ind w:left="426" w:right="370"/>
        <w:rPr>
          <w:sz w:val="16"/>
          <w:szCs w:val="16"/>
          <w:lang w:val="pt-BR"/>
        </w:rPr>
      </w:pPr>
      <w:r w:rsidRPr="00BD62E7">
        <w:rPr>
          <w:color w:val="822108"/>
          <w:sz w:val="16"/>
          <w:szCs w:val="16"/>
          <w:lang w:val="pt-BR"/>
        </w:rPr>
        <w:t>Jorge Abad-Pérez</w:t>
      </w:r>
      <w:r w:rsidRPr="00BD62E7">
        <w:rPr>
          <w:sz w:val="16"/>
          <w:szCs w:val="16"/>
          <w:lang w:val="pt-BR"/>
        </w:rPr>
        <w:t>| jorge.abad@ua.es |</w:t>
      </w:r>
    </w:p>
    <w:p w14:paraId="0FF3A088" w14:textId="77777777" w:rsidR="00083156" w:rsidRDefault="00000000">
      <w:pPr>
        <w:widowControl/>
        <w:spacing w:before="80"/>
        <w:ind w:left="426" w:right="370"/>
        <w:rPr>
          <w:sz w:val="16"/>
          <w:szCs w:val="16"/>
        </w:rPr>
      </w:pPr>
      <w:hyperlink r:id="rId10">
        <w:r>
          <w:rPr>
            <w:color w:val="0000FF"/>
            <w:sz w:val="16"/>
            <w:szCs w:val="16"/>
            <w:u w:val="single"/>
          </w:rPr>
          <w:t>https://orcid.org/0009-0000-8579-5233</w:t>
        </w:r>
      </w:hyperlink>
    </w:p>
    <w:p w14:paraId="10623DF4" w14:textId="3BDB9F9B" w:rsidR="00083156" w:rsidRDefault="00BD62E7">
      <w:pPr>
        <w:widowControl/>
        <w:spacing w:before="80"/>
        <w:ind w:left="426" w:right="370"/>
        <w:rPr>
          <w:color w:val="822108"/>
          <w:sz w:val="20"/>
          <w:szCs w:val="20"/>
          <w:highlight w:val="yellow"/>
        </w:rPr>
      </w:pPr>
      <w:r w:rsidRPr="00BD62E7">
        <w:rPr>
          <w:sz w:val="16"/>
          <w:szCs w:val="16"/>
        </w:rPr>
        <w:t xml:space="preserve">Alicante </w:t>
      </w:r>
      <w:proofErr w:type="spellStart"/>
      <w:r w:rsidRPr="00BD62E7">
        <w:rPr>
          <w:sz w:val="16"/>
          <w:szCs w:val="16"/>
        </w:rPr>
        <w:t>University</w:t>
      </w:r>
      <w:proofErr w:type="spellEnd"/>
      <w:r w:rsidRPr="00BD62E7">
        <w:rPr>
          <w:sz w:val="16"/>
          <w:szCs w:val="16"/>
        </w:rPr>
        <w:t xml:space="preserve"> (Spain)</w:t>
      </w:r>
    </w:p>
    <w:p w14:paraId="23EF6421" w14:textId="77777777" w:rsidR="00083156" w:rsidRDefault="00083156">
      <w:pPr>
        <w:widowControl/>
        <w:spacing w:before="39" w:line="252" w:lineRule="auto"/>
        <w:ind w:right="370"/>
        <w:rPr>
          <w:rFonts w:ascii="Arial Narrow" w:eastAsia="Arial Narrow" w:hAnsi="Arial Narrow" w:cs="Arial Narrow"/>
          <w:color w:val="231F20"/>
          <w:sz w:val="30"/>
          <w:szCs w:val="30"/>
        </w:rPr>
      </w:pPr>
    </w:p>
    <w:p w14:paraId="31E0F917" w14:textId="77777777" w:rsidR="00083156" w:rsidRDefault="00083156">
      <w:pPr>
        <w:widowControl/>
        <w:spacing w:before="80"/>
        <w:ind w:left="641" w:right="85"/>
        <w:rPr>
          <w:sz w:val="20"/>
          <w:szCs w:val="20"/>
        </w:rPr>
      </w:pPr>
    </w:p>
    <w:tbl>
      <w:tblPr>
        <w:tblStyle w:val="af1"/>
        <w:tblW w:w="7224"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42"/>
        <w:gridCol w:w="2404"/>
        <w:gridCol w:w="4678"/>
      </w:tblGrid>
      <w:tr w:rsidR="00083156" w14:paraId="330E81E9" w14:textId="77777777" w:rsidTr="00BD62E7">
        <w:trPr>
          <w:trHeight w:val="339"/>
        </w:trPr>
        <w:tc>
          <w:tcPr>
            <w:tcW w:w="2546" w:type="dxa"/>
            <w:gridSpan w:val="2"/>
            <w:vAlign w:val="center"/>
          </w:tcPr>
          <w:p w14:paraId="1EC0BC8D" w14:textId="77777777" w:rsidR="00083156" w:rsidRDefault="00000000">
            <w:pPr>
              <w:widowControl/>
              <w:spacing w:before="177" w:line="204" w:lineRule="auto"/>
              <w:rPr>
                <w:b/>
                <w:bCs/>
                <w:sz w:val="18"/>
                <w:szCs w:val="18"/>
              </w:rPr>
            </w:pPr>
            <w:proofErr w:type="spellStart"/>
            <w:r>
              <w:rPr>
                <w:b/>
                <w:bCs/>
                <w:sz w:val="18"/>
                <w:szCs w:val="18"/>
              </w:rPr>
              <w:t>Summary</w:t>
            </w:r>
            <w:proofErr w:type="spellEnd"/>
          </w:p>
        </w:tc>
        <w:tc>
          <w:tcPr>
            <w:tcW w:w="4678" w:type="dxa"/>
            <w:vAlign w:val="center"/>
          </w:tcPr>
          <w:p w14:paraId="630E34DA" w14:textId="77777777" w:rsidR="00083156" w:rsidRDefault="00000000">
            <w:pPr>
              <w:widowControl/>
              <w:spacing w:before="177" w:line="204" w:lineRule="auto"/>
              <w:rPr>
                <w:b/>
                <w:bCs/>
                <w:sz w:val="18"/>
                <w:szCs w:val="18"/>
              </w:rPr>
            </w:pPr>
            <w:proofErr w:type="spellStart"/>
            <w:r>
              <w:rPr>
                <w:b/>
                <w:bCs/>
                <w:sz w:val="18"/>
                <w:szCs w:val="18"/>
              </w:rPr>
              <w:t>Abstract</w:t>
            </w:r>
            <w:proofErr w:type="spellEnd"/>
          </w:p>
        </w:tc>
      </w:tr>
      <w:tr w:rsidR="00083156" w:rsidRPr="00BD62E7" w14:paraId="66D75248" w14:textId="77777777" w:rsidTr="00BD62E7">
        <w:trPr>
          <w:gridBefore w:val="1"/>
          <w:wBefore w:w="142" w:type="dxa"/>
        </w:trPr>
        <w:tc>
          <w:tcPr>
            <w:tcW w:w="2404" w:type="dxa"/>
          </w:tcPr>
          <w:p w14:paraId="4E9AA501" w14:textId="53A7E79D" w:rsidR="00083156" w:rsidRDefault="00000000" w:rsidP="00BD62E7">
            <w:pPr>
              <w:widowControl/>
              <w:numPr>
                <w:ilvl w:val="0"/>
                <w:numId w:val="1"/>
              </w:numPr>
              <w:spacing w:line="180" w:lineRule="auto"/>
              <w:ind w:left="300" w:right="36"/>
              <w:rPr>
                <w:color w:val="000000"/>
              </w:rPr>
            </w:pPr>
            <w:proofErr w:type="spellStart"/>
            <w:r>
              <w:rPr>
                <w:color w:val="808080"/>
                <w:sz w:val="16"/>
                <w:szCs w:val="16"/>
              </w:rPr>
              <w:t>Introduc</w:t>
            </w:r>
            <w:r w:rsidR="00BD62E7">
              <w:rPr>
                <w:color w:val="808080"/>
                <w:sz w:val="16"/>
                <w:szCs w:val="16"/>
              </w:rPr>
              <w:t>tio</w:t>
            </w:r>
            <w:r>
              <w:rPr>
                <w:color w:val="808080"/>
                <w:sz w:val="16"/>
                <w:szCs w:val="16"/>
              </w:rPr>
              <w:t>n</w:t>
            </w:r>
            <w:proofErr w:type="spellEnd"/>
          </w:p>
          <w:p w14:paraId="507D0EDF" w14:textId="77777777" w:rsidR="00BD62E7" w:rsidRPr="00BD62E7" w:rsidRDefault="00BD62E7" w:rsidP="00BD62E7">
            <w:pPr>
              <w:pStyle w:val="Prrafodelista"/>
              <w:numPr>
                <w:ilvl w:val="0"/>
                <w:numId w:val="1"/>
              </w:numPr>
              <w:rPr>
                <w:rFonts w:ascii="Garamond" w:eastAsia="Garamond" w:hAnsi="Garamond" w:cs="Garamond"/>
                <w:color w:val="808080"/>
                <w:sz w:val="16"/>
                <w:szCs w:val="16"/>
              </w:rPr>
            </w:pPr>
            <w:proofErr w:type="spellStart"/>
            <w:r w:rsidRPr="00BD62E7">
              <w:rPr>
                <w:rFonts w:ascii="Garamond" w:eastAsia="Garamond" w:hAnsi="Garamond" w:cs="Garamond"/>
                <w:color w:val="808080"/>
                <w:sz w:val="16"/>
                <w:szCs w:val="16"/>
              </w:rPr>
              <w:t>Theoretical</w:t>
            </w:r>
            <w:proofErr w:type="spellEnd"/>
            <w:r w:rsidRPr="00BD62E7">
              <w:rPr>
                <w:rFonts w:ascii="Garamond" w:eastAsia="Garamond" w:hAnsi="Garamond" w:cs="Garamond"/>
                <w:color w:val="808080"/>
                <w:sz w:val="16"/>
                <w:szCs w:val="16"/>
              </w:rPr>
              <w:t xml:space="preserve"> </w:t>
            </w:r>
            <w:proofErr w:type="spellStart"/>
            <w:r w:rsidRPr="00BD62E7">
              <w:rPr>
                <w:rFonts w:ascii="Garamond" w:eastAsia="Garamond" w:hAnsi="Garamond" w:cs="Garamond"/>
                <w:color w:val="808080"/>
                <w:sz w:val="16"/>
                <w:szCs w:val="16"/>
              </w:rPr>
              <w:t>framework</w:t>
            </w:r>
            <w:proofErr w:type="spellEnd"/>
          </w:p>
          <w:p w14:paraId="5CE75418" w14:textId="77777777" w:rsidR="00083156" w:rsidRPr="00BD62E7" w:rsidRDefault="00000000" w:rsidP="00BD62E7">
            <w:pPr>
              <w:widowControl/>
              <w:spacing w:line="180" w:lineRule="auto"/>
              <w:ind w:right="36"/>
              <w:rPr>
                <w:color w:val="7F7F7F" w:themeColor="text1" w:themeTint="80"/>
                <w:sz w:val="16"/>
                <w:szCs w:val="16"/>
                <w:lang w:val="en-GB"/>
              </w:rPr>
            </w:pPr>
            <w:r w:rsidRPr="00BD62E7">
              <w:rPr>
                <w:color w:val="7F7F7F" w:themeColor="text1" w:themeTint="80"/>
                <w:sz w:val="16"/>
                <w:szCs w:val="16"/>
                <w:lang w:val="en-GB"/>
              </w:rPr>
              <w:t>2.1. True Crime in the digital age: between informative narrative and sensationalism</w:t>
            </w:r>
          </w:p>
          <w:p w14:paraId="3191FC8E" w14:textId="77777777" w:rsidR="00083156" w:rsidRDefault="00000000" w:rsidP="00BD62E7">
            <w:pPr>
              <w:widowControl/>
              <w:numPr>
                <w:ilvl w:val="0"/>
                <w:numId w:val="1"/>
              </w:numPr>
              <w:spacing w:line="180" w:lineRule="auto"/>
              <w:ind w:left="300" w:right="36"/>
              <w:rPr>
                <w:color w:val="000000"/>
              </w:rPr>
            </w:pPr>
            <w:proofErr w:type="spellStart"/>
            <w:r>
              <w:rPr>
                <w:color w:val="808080"/>
                <w:sz w:val="16"/>
                <w:szCs w:val="16"/>
              </w:rPr>
              <w:t>Objectives</w:t>
            </w:r>
            <w:proofErr w:type="spellEnd"/>
            <w:r>
              <w:rPr>
                <w:color w:val="808080"/>
                <w:sz w:val="16"/>
                <w:szCs w:val="16"/>
              </w:rPr>
              <w:t xml:space="preserve"> and </w:t>
            </w:r>
            <w:proofErr w:type="spellStart"/>
            <w:r>
              <w:rPr>
                <w:color w:val="808080"/>
                <w:sz w:val="16"/>
                <w:szCs w:val="16"/>
              </w:rPr>
              <w:t>Methodology</w:t>
            </w:r>
            <w:proofErr w:type="spellEnd"/>
          </w:p>
          <w:p w14:paraId="48929346" w14:textId="77777777" w:rsidR="00083156" w:rsidRDefault="00000000" w:rsidP="00BD62E7">
            <w:pPr>
              <w:widowControl/>
              <w:numPr>
                <w:ilvl w:val="0"/>
                <w:numId w:val="1"/>
              </w:numPr>
              <w:tabs>
                <w:tab w:val="left" w:pos="847"/>
              </w:tabs>
              <w:spacing w:line="180" w:lineRule="auto"/>
              <w:ind w:left="300" w:right="36"/>
              <w:rPr>
                <w:color w:val="000000"/>
              </w:rPr>
            </w:pPr>
            <w:proofErr w:type="spellStart"/>
            <w:r>
              <w:rPr>
                <w:color w:val="808080"/>
                <w:sz w:val="16"/>
                <w:szCs w:val="16"/>
              </w:rPr>
              <w:t>Results</w:t>
            </w:r>
            <w:proofErr w:type="spellEnd"/>
          </w:p>
          <w:p w14:paraId="3A28CD68" w14:textId="77777777" w:rsidR="00083156" w:rsidRDefault="00000000" w:rsidP="00BD62E7">
            <w:pPr>
              <w:widowControl/>
              <w:numPr>
                <w:ilvl w:val="1"/>
                <w:numId w:val="1"/>
              </w:numPr>
              <w:tabs>
                <w:tab w:val="left" w:pos="169"/>
              </w:tabs>
              <w:spacing w:before="9" w:line="199" w:lineRule="auto"/>
              <w:ind w:left="150" w:right="36"/>
              <w:rPr>
                <w:color w:val="000000"/>
              </w:rPr>
            </w:pPr>
            <w:proofErr w:type="spellStart"/>
            <w:r>
              <w:rPr>
                <w:color w:val="808080"/>
                <w:sz w:val="16"/>
                <w:szCs w:val="16"/>
              </w:rPr>
              <w:t>Production</w:t>
            </w:r>
            <w:proofErr w:type="spellEnd"/>
            <w:r>
              <w:rPr>
                <w:color w:val="808080"/>
                <w:sz w:val="16"/>
                <w:szCs w:val="16"/>
              </w:rPr>
              <w:t xml:space="preserve"> and </w:t>
            </w:r>
            <w:proofErr w:type="spellStart"/>
            <w:r>
              <w:rPr>
                <w:color w:val="808080"/>
                <w:sz w:val="16"/>
                <w:szCs w:val="16"/>
              </w:rPr>
              <w:t>Distribution</w:t>
            </w:r>
            <w:proofErr w:type="spellEnd"/>
          </w:p>
          <w:p w14:paraId="4A5CD49D" w14:textId="77777777" w:rsidR="00083156" w:rsidRDefault="00000000" w:rsidP="00BD62E7">
            <w:pPr>
              <w:widowControl/>
              <w:numPr>
                <w:ilvl w:val="1"/>
                <w:numId w:val="1"/>
              </w:numPr>
              <w:tabs>
                <w:tab w:val="left" w:pos="169"/>
              </w:tabs>
              <w:spacing w:before="9" w:line="199" w:lineRule="auto"/>
              <w:ind w:left="150" w:right="36"/>
              <w:rPr>
                <w:color w:val="000000"/>
              </w:rPr>
            </w:pPr>
            <w:proofErr w:type="spellStart"/>
            <w:r>
              <w:rPr>
                <w:color w:val="808080"/>
                <w:sz w:val="16"/>
                <w:szCs w:val="16"/>
              </w:rPr>
              <w:t>Recurrence</w:t>
            </w:r>
            <w:proofErr w:type="spellEnd"/>
            <w:r>
              <w:rPr>
                <w:color w:val="808080"/>
                <w:sz w:val="16"/>
                <w:szCs w:val="16"/>
              </w:rPr>
              <w:t xml:space="preserve"> and </w:t>
            </w:r>
            <w:proofErr w:type="spellStart"/>
            <w:r>
              <w:rPr>
                <w:color w:val="808080"/>
                <w:sz w:val="16"/>
                <w:szCs w:val="16"/>
              </w:rPr>
              <w:t>transversality</w:t>
            </w:r>
            <w:proofErr w:type="spellEnd"/>
            <w:r>
              <w:rPr>
                <w:color w:val="808080"/>
                <w:sz w:val="16"/>
                <w:szCs w:val="16"/>
              </w:rPr>
              <w:t xml:space="preserve"> </w:t>
            </w:r>
            <w:proofErr w:type="spellStart"/>
            <w:r>
              <w:rPr>
                <w:color w:val="808080"/>
                <w:sz w:val="16"/>
                <w:szCs w:val="16"/>
              </w:rPr>
              <w:t>of</w:t>
            </w:r>
            <w:proofErr w:type="spellEnd"/>
            <w:r>
              <w:rPr>
                <w:color w:val="808080"/>
                <w:sz w:val="16"/>
                <w:szCs w:val="16"/>
              </w:rPr>
              <w:t xml:space="preserve"> cases</w:t>
            </w:r>
          </w:p>
          <w:p w14:paraId="66556FF6" w14:textId="77777777" w:rsidR="00083156" w:rsidRDefault="00000000" w:rsidP="00BD62E7">
            <w:pPr>
              <w:widowControl/>
              <w:numPr>
                <w:ilvl w:val="1"/>
                <w:numId w:val="1"/>
              </w:numPr>
              <w:tabs>
                <w:tab w:val="left" w:pos="169"/>
              </w:tabs>
              <w:spacing w:before="1" w:line="199" w:lineRule="auto"/>
              <w:ind w:left="150" w:right="36"/>
              <w:rPr>
                <w:color w:val="000000"/>
              </w:rPr>
            </w:pPr>
            <w:proofErr w:type="spellStart"/>
            <w:r>
              <w:rPr>
                <w:color w:val="808080"/>
                <w:sz w:val="16"/>
                <w:szCs w:val="16"/>
              </w:rPr>
              <w:t>Protagonism</w:t>
            </w:r>
            <w:proofErr w:type="spellEnd"/>
            <w:r>
              <w:rPr>
                <w:color w:val="808080"/>
                <w:sz w:val="16"/>
                <w:szCs w:val="16"/>
              </w:rPr>
              <w:t xml:space="preserve"> and </w:t>
            </w:r>
            <w:proofErr w:type="spellStart"/>
            <w:r>
              <w:rPr>
                <w:color w:val="808080"/>
                <w:sz w:val="16"/>
                <w:szCs w:val="16"/>
              </w:rPr>
              <w:t>gender</w:t>
            </w:r>
            <w:proofErr w:type="spellEnd"/>
            <w:r>
              <w:rPr>
                <w:color w:val="808080"/>
                <w:sz w:val="16"/>
                <w:szCs w:val="16"/>
              </w:rPr>
              <w:t xml:space="preserve"> </w:t>
            </w:r>
            <w:proofErr w:type="spellStart"/>
            <w:r>
              <w:rPr>
                <w:color w:val="808080"/>
                <w:sz w:val="16"/>
                <w:szCs w:val="16"/>
              </w:rPr>
              <w:t>representation</w:t>
            </w:r>
            <w:proofErr w:type="spellEnd"/>
          </w:p>
          <w:p w14:paraId="76B523E7" w14:textId="77777777" w:rsidR="00083156" w:rsidRDefault="00000000" w:rsidP="00BD62E7">
            <w:pPr>
              <w:widowControl/>
              <w:numPr>
                <w:ilvl w:val="1"/>
                <w:numId w:val="1"/>
              </w:numPr>
              <w:tabs>
                <w:tab w:val="left" w:pos="169"/>
              </w:tabs>
              <w:spacing w:before="2" w:line="199" w:lineRule="auto"/>
              <w:ind w:left="150" w:right="36"/>
              <w:rPr>
                <w:color w:val="000000"/>
              </w:rPr>
            </w:pPr>
            <w:proofErr w:type="spellStart"/>
            <w:r>
              <w:rPr>
                <w:color w:val="808080"/>
                <w:sz w:val="16"/>
                <w:szCs w:val="16"/>
              </w:rPr>
              <w:t>Victim</w:t>
            </w:r>
            <w:proofErr w:type="spellEnd"/>
            <w:r>
              <w:rPr>
                <w:color w:val="808080"/>
                <w:sz w:val="16"/>
                <w:szCs w:val="16"/>
              </w:rPr>
              <w:t xml:space="preserve"> and </w:t>
            </w:r>
            <w:proofErr w:type="spellStart"/>
            <w:r>
              <w:rPr>
                <w:color w:val="808080"/>
                <w:sz w:val="16"/>
                <w:szCs w:val="16"/>
              </w:rPr>
              <w:t>perpetrator</w:t>
            </w:r>
            <w:proofErr w:type="spellEnd"/>
            <w:r>
              <w:rPr>
                <w:color w:val="808080"/>
                <w:sz w:val="16"/>
                <w:szCs w:val="16"/>
              </w:rPr>
              <w:t xml:space="preserve"> </w:t>
            </w:r>
            <w:proofErr w:type="spellStart"/>
            <w:r>
              <w:rPr>
                <w:color w:val="808080"/>
                <w:sz w:val="16"/>
                <w:szCs w:val="16"/>
              </w:rPr>
              <w:t>profile</w:t>
            </w:r>
            <w:proofErr w:type="spellEnd"/>
          </w:p>
          <w:p w14:paraId="1E2F5892" w14:textId="77777777" w:rsidR="00083156" w:rsidRPr="00BD62E7" w:rsidRDefault="00000000" w:rsidP="00BD62E7">
            <w:pPr>
              <w:widowControl/>
              <w:numPr>
                <w:ilvl w:val="1"/>
                <w:numId w:val="1"/>
              </w:numPr>
              <w:tabs>
                <w:tab w:val="left" w:pos="169"/>
              </w:tabs>
              <w:spacing w:before="2" w:line="199" w:lineRule="auto"/>
              <w:ind w:left="150" w:right="36"/>
              <w:rPr>
                <w:color w:val="000000"/>
                <w:lang w:val="en-GB"/>
              </w:rPr>
            </w:pPr>
            <w:r w:rsidRPr="00BD62E7">
              <w:rPr>
                <w:color w:val="808080"/>
                <w:sz w:val="16"/>
                <w:szCs w:val="16"/>
                <w:lang w:val="en-GB"/>
              </w:rPr>
              <w:t>Victim-offender relationship and crime characteristics</w:t>
            </w:r>
          </w:p>
          <w:p w14:paraId="19659210" w14:textId="77777777" w:rsidR="00083156" w:rsidRDefault="00000000" w:rsidP="00BD62E7">
            <w:pPr>
              <w:widowControl/>
              <w:numPr>
                <w:ilvl w:val="0"/>
                <w:numId w:val="1"/>
              </w:numPr>
              <w:spacing w:line="173" w:lineRule="auto"/>
              <w:ind w:left="300" w:right="36"/>
              <w:rPr>
                <w:color w:val="000000"/>
              </w:rPr>
            </w:pPr>
            <w:proofErr w:type="spellStart"/>
            <w:r>
              <w:rPr>
                <w:color w:val="808080"/>
                <w:sz w:val="16"/>
                <w:szCs w:val="16"/>
              </w:rPr>
              <w:t>Discussion</w:t>
            </w:r>
            <w:proofErr w:type="spellEnd"/>
            <w:r>
              <w:rPr>
                <w:color w:val="808080"/>
                <w:sz w:val="16"/>
                <w:szCs w:val="16"/>
              </w:rPr>
              <w:t xml:space="preserve"> and </w:t>
            </w:r>
            <w:proofErr w:type="spellStart"/>
            <w:r>
              <w:rPr>
                <w:color w:val="808080"/>
                <w:sz w:val="16"/>
                <w:szCs w:val="16"/>
              </w:rPr>
              <w:t>Conclusions</w:t>
            </w:r>
            <w:proofErr w:type="spellEnd"/>
          </w:p>
          <w:p w14:paraId="68A12C0D" w14:textId="77777777" w:rsidR="00083156" w:rsidRDefault="00000000" w:rsidP="00BD62E7">
            <w:pPr>
              <w:widowControl/>
              <w:numPr>
                <w:ilvl w:val="0"/>
                <w:numId w:val="1"/>
              </w:numPr>
              <w:spacing w:line="198" w:lineRule="auto"/>
              <w:ind w:left="300" w:right="36"/>
              <w:rPr>
                <w:color w:val="000000"/>
              </w:rPr>
            </w:pPr>
            <w:proofErr w:type="spellStart"/>
            <w:r>
              <w:rPr>
                <w:color w:val="808080"/>
                <w:sz w:val="16"/>
                <w:szCs w:val="16"/>
              </w:rPr>
              <w:t>References</w:t>
            </w:r>
            <w:proofErr w:type="spellEnd"/>
          </w:p>
          <w:p w14:paraId="0A23F06D" w14:textId="77777777" w:rsidR="00083156" w:rsidRDefault="00083156">
            <w:pPr>
              <w:widowControl/>
              <w:spacing w:before="177" w:line="204" w:lineRule="auto"/>
              <w:ind w:left="169" w:hanging="142"/>
              <w:rPr>
                <w:b/>
                <w:bCs/>
                <w:sz w:val="18"/>
                <w:szCs w:val="18"/>
              </w:rPr>
            </w:pPr>
          </w:p>
        </w:tc>
        <w:tc>
          <w:tcPr>
            <w:tcW w:w="4678" w:type="dxa"/>
          </w:tcPr>
          <w:p w14:paraId="1FCB492F" w14:textId="77777777" w:rsidR="00083156" w:rsidRPr="00BD62E7" w:rsidRDefault="00000000">
            <w:pPr>
              <w:widowControl/>
              <w:spacing w:line="204" w:lineRule="auto"/>
              <w:jc w:val="both"/>
              <w:rPr>
                <w:sz w:val="18"/>
                <w:szCs w:val="18"/>
                <w:lang w:val="en-GB"/>
              </w:rPr>
            </w:pPr>
            <w:r w:rsidRPr="00BD62E7">
              <w:rPr>
                <w:sz w:val="18"/>
                <w:szCs w:val="18"/>
                <w:lang w:val="en-GB"/>
              </w:rPr>
              <w:t xml:space="preserve">This article </w:t>
            </w:r>
            <w:proofErr w:type="spellStart"/>
            <w:r w:rsidRPr="00BD62E7">
              <w:rPr>
                <w:sz w:val="18"/>
                <w:szCs w:val="18"/>
                <w:lang w:val="en-GB"/>
              </w:rPr>
              <w:t>analyzes</w:t>
            </w:r>
            <w:proofErr w:type="spellEnd"/>
            <w:r w:rsidRPr="00BD62E7">
              <w:rPr>
                <w:sz w:val="18"/>
                <w:szCs w:val="18"/>
                <w:lang w:val="en-GB"/>
              </w:rPr>
              <w:t xml:space="preserve"> the narrative characteristics and trends of true crime content produced in Spain for video-on-demand (VOD) platforms between 2016 and 2025. Through a mixed-methods approach based on the analysis of 35 productions, the study examines narrative strategies, gender representation, and prevailing criminological profiles. The findings reveal a sustained rise in true crime content from 2021 onwards, peaking in 2024, as well as a clear preference for documentary formats over fiction. The narratives predominantly focus on perpetrators rather than victims. Regarding gender representation, there is a tendency to emphasize cases involving women, particularly when they appear as perpetrators. The conclusions point to the consolidation of true crime as a strategic content genre within Spanish VOD platforms.</w:t>
            </w:r>
          </w:p>
          <w:p w14:paraId="54C363C5" w14:textId="77777777" w:rsidR="00083156" w:rsidRPr="00BD62E7" w:rsidRDefault="00083156">
            <w:pPr>
              <w:widowControl/>
              <w:spacing w:line="204" w:lineRule="auto"/>
              <w:jc w:val="both"/>
              <w:rPr>
                <w:sz w:val="18"/>
                <w:szCs w:val="18"/>
                <w:lang w:val="en-GB"/>
              </w:rPr>
            </w:pPr>
          </w:p>
        </w:tc>
      </w:tr>
    </w:tbl>
    <w:p w14:paraId="6D7C8C90" w14:textId="77777777" w:rsidR="00083156" w:rsidRPr="00BD62E7" w:rsidRDefault="00000000">
      <w:pPr>
        <w:widowControl/>
        <w:spacing w:before="177" w:line="204" w:lineRule="auto"/>
        <w:ind w:left="660"/>
        <w:jc w:val="both"/>
        <w:rPr>
          <w:b/>
          <w:bCs/>
          <w:sz w:val="18"/>
          <w:szCs w:val="18"/>
          <w:lang w:val="en-GB"/>
        </w:rPr>
      </w:pPr>
      <w:r w:rsidRPr="00BD62E7">
        <w:rPr>
          <w:b/>
          <w:bCs/>
          <w:sz w:val="18"/>
          <w:szCs w:val="18"/>
          <w:lang w:val="en-GB"/>
        </w:rPr>
        <w:t>Key words</w:t>
      </w:r>
    </w:p>
    <w:p w14:paraId="5E296C8B" w14:textId="77777777" w:rsidR="00083156" w:rsidRPr="00BD62E7" w:rsidRDefault="00000000">
      <w:pPr>
        <w:widowControl/>
        <w:spacing w:before="9" w:line="199" w:lineRule="auto"/>
        <w:ind w:left="660" w:right="134"/>
        <w:jc w:val="both"/>
        <w:rPr>
          <w:sz w:val="18"/>
          <w:szCs w:val="18"/>
          <w:lang w:val="en-GB"/>
        </w:rPr>
        <w:sectPr w:rsidR="00083156" w:rsidRPr="00BD62E7">
          <w:headerReference w:type="default" r:id="rId11"/>
          <w:footerReference w:type="default" r:id="rId12"/>
          <w:pgSz w:w="9640" w:h="13610"/>
          <w:pgMar w:top="1480" w:right="1000" w:bottom="2120" w:left="1040" w:header="1148" w:footer="1931" w:gutter="0"/>
          <w:pgNumType w:start="1"/>
          <w:cols w:space="720"/>
        </w:sectPr>
      </w:pPr>
      <w:r w:rsidRPr="00BD62E7">
        <w:rPr>
          <w:sz w:val="18"/>
          <w:szCs w:val="18"/>
          <w:lang w:val="en-GB"/>
        </w:rPr>
        <w:t>“VOD platforms”; “true crime”; “audiovisual narrative”; “gender”; “streaming”; “television”</w:t>
      </w:r>
    </w:p>
    <w:p w14:paraId="7635F0A0" w14:textId="77777777" w:rsidR="00083156" w:rsidRDefault="00000000">
      <w:pPr>
        <w:pStyle w:val="Ttulo1"/>
        <w:widowControl/>
        <w:numPr>
          <w:ilvl w:val="0"/>
          <w:numId w:val="2"/>
        </w:numPr>
        <w:spacing w:after="80"/>
        <w:rPr>
          <w:rFonts w:ascii="Garamond" w:eastAsia="Garamond" w:hAnsi="Garamond" w:cs="Garamond"/>
          <w:b/>
          <w:bCs/>
        </w:rPr>
      </w:pPr>
      <w:proofErr w:type="spellStart"/>
      <w:r>
        <w:rPr>
          <w:rFonts w:ascii="Garamond" w:eastAsia="Garamond" w:hAnsi="Garamond" w:cs="Garamond"/>
          <w:b/>
          <w:bCs/>
          <w:color w:val="98361E"/>
        </w:rPr>
        <w:lastRenderedPageBreak/>
        <w:t>Introduction</w:t>
      </w:r>
      <w:proofErr w:type="spellEnd"/>
    </w:p>
    <w:p w14:paraId="0E5D2C0E" w14:textId="77777777" w:rsidR="00083156" w:rsidRPr="00BD62E7" w:rsidRDefault="00000000">
      <w:pPr>
        <w:widowControl/>
        <w:pBdr>
          <w:top w:val="nil"/>
          <w:left w:val="nil"/>
          <w:bottom w:val="nil"/>
          <w:right w:val="nil"/>
          <w:between w:val="nil"/>
        </w:pBdr>
        <w:spacing w:after="80"/>
        <w:ind w:left="426" w:right="370"/>
        <w:jc w:val="both"/>
        <w:rPr>
          <w:sz w:val="20"/>
          <w:szCs w:val="20"/>
          <w:lang w:val="en-GB"/>
        </w:rPr>
      </w:pPr>
      <w:r w:rsidRPr="00BD62E7">
        <w:rPr>
          <w:sz w:val="20"/>
          <w:szCs w:val="20"/>
          <w:lang w:val="en-GB"/>
        </w:rPr>
        <w:t>Over the past decade, the audiovisual landscape has undergone a significant transformation with the arrival and consolidation of video</w:t>
      </w:r>
      <w:r w:rsidRPr="00BD62E7">
        <w:rPr>
          <w:rFonts w:ascii="Cambria Math" w:eastAsia="Cambria Math" w:hAnsi="Cambria Math" w:cs="Cambria Math"/>
          <w:sz w:val="20"/>
          <w:szCs w:val="20"/>
          <w:lang w:val="en-GB"/>
        </w:rPr>
        <w:t>‑</w:t>
      </w:r>
      <w:r w:rsidRPr="00BD62E7">
        <w:rPr>
          <w:sz w:val="20"/>
          <w:szCs w:val="20"/>
          <w:lang w:val="en-GB"/>
        </w:rPr>
        <w:t>on</w:t>
      </w:r>
      <w:r w:rsidRPr="00BD62E7">
        <w:rPr>
          <w:rFonts w:ascii="Cambria Math" w:eastAsia="Cambria Math" w:hAnsi="Cambria Math" w:cs="Cambria Math"/>
          <w:sz w:val="20"/>
          <w:szCs w:val="20"/>
          <w:lang w:val="en-GB"/>
        </w:rPr>
        <w:t>‑</w:t>
      </w:r>
      <w:r w:rsidRPr="00BD62E7">
        <w:rPr>
          <w:sz w:val="20"/>
          <w:szCs w:val="20"/>
          <w:lang w:val="en-GB"/>
        </w:rPr>
        <w:t>demand (VOD) platforms as key players in the production and distribution of content. This new model has substantially modified consumption habits, production strategies and the narrative structures of audiovisual products, giving rise to a digital ecosystem increasingly detached from traditional linear television. In this context, on</w:t>
      </w:r>
      <w:r w:rsidRPr="00BD62E7">
        <w:rPr>
          <w:rFonts w:ascii="Cambria Math" w:eastAsia="Cambria Math" w:hAnsi="Cambria Math" w:cs="Cambria Math"/>
          <w:sz w:val="20"/>
          <w:szCs w:val="20"/>
          <w:lang w:val="en-GB"/>
        </w:rPr>
        <w:t>‑</w:t>
      </w:r>
      <w:r w:rsidRPr="00BD62E7">
        <w:rPr>
          <w:sz w:val="20"/>
          <w:szCs w:val="20"/>
          <w:lang w:val="en-GB"/>
        </w:rPr>
        <w:t>demand consumption and the retention of global audiences have encouraged the development of formats capable of maintaining attention in a highly competitive environment.</w:t>
      </w:r>
    </w:p>
    <w:p w14:paraId="276FC75D" w14:textId="77777777" w:rsidR="00083156" w:rsidRPr="00BD62E7" w:rsidRDefault="00000000">
      <w:pPr>
        <w:widowControl/>
        <w:pBdr>
          <w:top w:val="nil"/>
          <w:left w:val="nil"/>
          <w:bottom w:val="nil"/>
          <w:right w:val="nil"/>
          <w:between w:val="nil"/>
        </w:pBdr>
        <w:spacing w:after="80"/>
        <w:ind w:left="426" w:right="370"/>
        <w:jc w:val="both"/>
        <w:rPr>
          <w:sz w:val="20"/>
          <w:szCs w:val="20"/>
          <w:lang w:val="en-GB"/>
        </w:rPr>
      </w:pPr>
      <w:r w:rsidRPr="00BD62E7">
        <w:rPr>
          <w:sz w:val="20"/>
          <w:szCs w:val="20"/>
          <w:lang w:val="en-GB"/>
        </w:rPr>
        <w:t xml:space="preserve">Within this framework, formats and narrative approaches have also evolved to adapt to the new opportunities of audiovisual consumption. Among them, true crime has emerged strongly as one of the most consumed, analysed and debated genres within the streaming offer (Romero, 2020; Irshad, 2022; </w:t>
      </w:r>
      <w:proofErr w:type="spellStart"/>
      <w:r w:rsidRPr="00BD62E7">
        <w:rPr>
          <w:sz w:val="20"/>
          <w:szCs w:val="20"/>
          <w:lang w:val="en-GB"/>
        </w:rPr>
        <w:t>Nirtaut</w:t>
      </w:r>
      <w:proofErr w:type="spellEnd"/>
      <w:r w:rsidRPr="00BD62E7">
        <w:rPr>
          <w:sz w:val="20"/>
          <w:szCs w:val="20"/>
          <w:lang w:val="en-GB"/>
        </w:rPr>
        <w:t>, 2024). Its adaptation to the digital environment has favoured notable thematic and formal diversification, while simultaneously provoking debates around the boundaries between information, spectacle and the exploitation of personal suffering. Furthermore, the consolidation of true crime within streaming catalogues relates to platforms’ ability to amplify the viewer’s experience through mechanisms such as binge</w:t>
      </w:r>
      <w:r w:rsidRPr="00BD62E7">
        <w:rPr>
          <w:rFonts w:ascii="Cambria Math" w:eastAsia="Cambria Math" w:hAnsi="Cambria Math" w:cs="Cambria Math"/>
          <w:sz w:val="20"/>
          <w:szCs w:val="20"/>
          <w:lang w:val="en-GB"/>
        </w:rPr>
        <w:t>‑</w:t>
      </w:r>
      <w:r w:rsidRPr="00BD62E7">
        <w:rPr>
          <w:sz w:val="20"/>
          <w:szCs w:val="20"/>
          <w:lang w:val="en-GB"/>
        </w:rPr>
        <w:t>watching, social interactivity and the creation of digital communities — phenomena that intensify the emotional and cognitive connection with criminal narratives (Tinker, 2018; Lotz, 2017). Its popularity also stems from an interest in exploring judicial mechanisms and the human motivations behind crime, as well as the appeal of narratives that balance documentary authenticity with hybrid narrative strategies (</w:t>
      </w:r>
      <w:proofErr w:type="spellStart"/>
      <w:r w:rsidRPr="00BD62E7">
        <w:rPr>
          <w:sz w:val="20"/>
          <w:szCs w:val="20"/>
          <w:lang w:val="en-GB"/>
        </w:rPr>
        <w:t>Punett</w:t>
      </w:r>
      <w:proofErr w:type="spellEnd"/>
      <w:r w:rsidRPr="00BD62E7">
        <w:rPr>
          <w:sz w:val="20"/>
          <w:szCs w:val="20"/>
          <w:lang w:val="en-GB"/>
        </w:rPr>
        <w:t>, 2019).</w:t>
      </w:r>
    </w:p>
    <w:p w14:paraId="0640100F" w14:textId="77777777" w:rsidR="00083156" w:rsidRPr="00BD62E7" w:rsidRDefault="00000000">
      <w:pPr>
        <w:widowControl/>
        <w:pBdr>
          <w:top w:val="nil"/>
          <w:left w:val="nil"/>
          <w:bottom w:val="nil"/>
          <w:right w:val="nil"/>
          <w:between w:val="nil"/>
        </w:pBdr>
        <w:spacing w:after="80"/>
        <w:ind w:left="426" w:right="370"/>
        <w:jc w:val="both"/>
        <w:rPr>
          <w:color w:val="000000"/>
          <w:sz w:val="20"/>
          <w:szCs w:val="20"/>
          <w:lang w:val="en-GB"/>
        </w:rPr>
      </w:pPr>
      <w:r w:rsidRPr="00BD62E7">
        <w:rPr>
          <w:sz w:val="20"/>
          <w:szCs w:val="20"/>
          <w:lang w:val="en-GB"/>
        </w:rPr>
        <w:t>In this context, the present study aims to analyse the narrative features and prevailing trends of Spanish true crime produced for VOD platforms from their arrival in 2016 up to the first half of 2025. Through a qualitative approach, the research seeks to identify predominant formats, patterns of gender representation and recurring thematic dynamics, with the purpose of contributing to the understanding of their characteristics within the culture of streaming.</w:t>
      </w:r>
    </w:p>
    <w:p w14:paraId="62B4B7AF" w14:textId="77777777" w:rsidR="00083156" w:rsidRDefault="00000000">
      <w:pPr>
        <w:pStyle w:val="Ttulo1"/>
        <w:widowControl/>
        <w:numPr>
          <w:ilvl w:val="0"/>
          <w:numId w:val="2"/>
        </w:numPr>
        <w:spacing w:after="80"/>
        <w:rPr>
          <w:rFonts w:ascii="Garamond" w:eastAsia="Garamond" w:hAnsi="Garamond" w:cs="Garamond"/>
          <w:b/>
          <w:bCs/>
          <w:color w:val="98361E"/>
        </w:rPr>
      </w:pPr>
      <w:proofErr w:type="spellStart"/>
      <w:r>
        <w:rPr>
          <w:rFonts w:ascii="Garamond" w:eastAsia="Garamond" w:hAnsi="Garamond" w:cs="Garamond"/>
          <w:b/>
          <w:bCs/>
          <w:color w:val="98361E"/>
        </w:rPr>
        <w:t>Theoretical</w:t>
      </w:r>
      <w:proofErr w:type="spellEnd"/>
      <w:r>
        <w:rPr>
          <w:rFonts w:ascii="Garamond" w:eastAsia="Garamond" w:hAnsi="Garamond" w:cs="Garamond"/>
          <w:b/>
          <w:bCs/>
          <w:color w:val="98361E"/>
        </w:rPr>
        <w:t xml:space="preserve"> </w:t>
      </w:r>
      <w:proofErr w:type="spellStart"/>
      <w:r>
        <w:rPr>
          <w:rFonts w:ascii="Garamond" w:eastAsia="Garamond" w:hAnsi="Garamond" w:cs="Garamond"/>
          <w:b/>
          <w:bCs/>
          <w:color w:val="98361E"/>
        </w:rPr>
        <w:t>framework</w:t>
      </w:r>
      <w:proofErr w:type="spellEnd"/>
    </w:p>
    <w:p w14:paraId="49F7A32B"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The emergence of video</w:t>
      </w:r>
      <w:r w:rsidRPr="00BD62E7">
        <w:rPr>
          <w:rFonts w:ascii="Cambria Math" w:eastAsia="Cambria Math" w:hAnsi="Cambria Math" w:cs="Cambria Math"/>
          <w:color w:val="231F20"/>
          <w:sz w:val="20"/>
          <w:szCs w:val="20"/>
          <w:lang w:val="en-GB"/>
        </w:rPr>
        <w:t>‑</w:t>
      </w:r>
      <w:r w:rsidRPr="00BD62E7">
        <w:rPr>
          <w:color w:val="231F20"/>
          <w:sz w:val="20"/>
          <w:szCs w:val="20"/>
          <w:lang w:val="en-GB"/>
        </w:rPr>
        <w:t>on</w:t>
      </w:r>
      <w:r w:rsidRPr="00BD62E7">
        <w:rPr>
          <w:rFonts w:ascii="Cambria Math" w:eastAsia="Cambria Math" w:hAnsi="Cambria Math" w:cs="Cambria Math"/>
          <w:color w:val="231F20"/>
          <w:sz w:val="20"/>
          <w:szCs w:val="20"/>
          <w:lang w:val="en-GB"/>
        </w:rPr>
        <w:t>‑</w:t>
      </w:r>
      <w:r w:rsidRPr="00BD62E7">
        <w:rPr>
          <w:color w:val="231F20"/>
          <w:sz w:val="20"/>
          <w:szCs w:val="20"/>
          <w:lang w:val="en-GB"/>
        </w:rPr>
        <w:t xml:space="preserve">demand (VOD) platforms has generated a profound transformation in audiovisual production and distribution on a global scale. This new media environment has been driven by new competitive and strategic dynamics that have redefined both the production and distribution of content (Márquez &amp; Arciniegas, 2020; Álvarez, 2024). This shift has forced both public and private broadcasters to rethink their distribution models, leading to the creation of their own OTT platforms or their integration into broader and more diversified services </w:t>
      </w:r>
      <w:proofErr w:type="gramStart"/>
      <w:r w:rsidRPr="00BD62E7">
        <w:rPr>
          <w:color w:val="231F20"/>
          <w:sz w:val="20"/>
          <w:szCs w:val="20"/>
          <w:lang w:val="en-GB"/>
        </w:rPr>
        <w:t>in order to</w:t>
      </w:r>
      <w:proofErr w:type="gramEnd"/>
      <w:r w:rsidRPr="00BD62E7">
        <w:rPr>
          <w:color w:val="231F20"/>
          <w:sz w:val="20"/>
          <w:szCs w:val="20"/>
          <w:lang w:val="en-GB"/>
        </w:rPr>
        <w:t xml:space="preserve"> adapt to a highly fragmented and competitive market (Antezana, 2021).</w:t>
      </w:r>
    </w:p>
    <w:p w14:paraId="3C3B865B"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The operating logic of these platforms is based not only on attracting audiences but on retaining them over extended periods through recommendation algorithms and data analytics that personalise the user experience (Lotz, 2017). This has resulted in a structural change in consumption practices and in the ways audiovisual narratives are conceived, produced and distributed. In this new scenario, traditional television has lost prominence, giving way to more flexible narrative models designed specifically for digital environments governed by on</w:t>
      </w:r>
      <w:r w:rsidRPr="00BD62E7">
        <w:rPr>
          <w:rFonts w:ascii="Cambria Math" w:eastAsia="Cambria Math" w:hAnsi="Cambria Math" w:cs="Cambria Math"/>
          <w:color w:val="231F20"/>
          <w:sz w:val="20"/>
          <w:szCs w:val="20"/>
          <w:lang w:val="en-GB"/>
        </w:rPr>
        <w:t>‑</w:t>
      </w:r>
      <w:r w:rsidRPr="00BD62E7">
        <w:rPr>
          <w:color w:val="231F20"/>
          <w:sz w:val="20"/>
          <w:szCs w:val="20"/>
          <w:lang w:val="en-GB"/>
        </w:rPr>
        <w:t>demand consumption (Lotz, 2014; Lobato, 2019).</w:t>
      </w:r>
    </w:p>
    <w:p w14:paraId="529E33D0"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lastRenderedPageBreak/>
        <w:t xml:space="preserve">At an international level, the expansion of platforms has produced a clear trend towards the concentration and vertical integration of services, with major streaming conglomerates reclaiming ownership of their catalogues </w:t>
      </w:r>
      <w:proofErr w:type="gramStart"/>
      <w:r w:rsidRPr="00BD62E7">
        <w:rPr>
          <w:color w:val="231F20"/>
          <w:sz w:val="20"/>
          <w:szCs w:val="20"/>
          <w:lang w:val="en-GB"/>
        </w:rPr>
        <w:t>in order to</w:t>
      </w:r>
      <w:proofErr w:type="gramEnd"/>
      <w:r w:rsidRPr="00BD62E7">
        <w:rPr>
          <w:color w:val="231F20"/>
          <w:sz w:val="20"/>
          <w:szCs w:val="20"/>
          <w:lang w:val="en-GB"/>
        </w:rPr>
        <w:t xml:space="preserve"> distribute them exclusively through their own channels. This strategy — aimed at reducing reliance on intermediaries and strengthening brand identity — responds to a market logic grounded in differentiation and content exclusivity (Komissarov &amp; Sánchez</w:t>
      </w:r>
      <w:r w:rsidRPr="00BD62E7">
        <w:rPr>
          <w:rFonts w:ascii="Cambria Math" w:eastAsia="Cambria Math" w:hAnsi="Cambria Math" w:cs="Cambria Math"/>
          <w:color w:val="231F20"/>
          <w:sz w:val="20"/>
          <w:szCs w:val="20"/>
          <w:lang w:val="en-GB"/>
        </w:rPr>
        <w:t>‑</w:t>
      </w:r>
      <w:r w:rsidRPr="00BD62E7">
        <w:rPr>
          <w:color w:val="231F20"/>
          <w:sz w:val="20"/>
          <w:szCs w:val="20"/>
          <w:lang w:val="en-GB"/>
        </w:rPr>
        <w:t>Narvarte, 2019). As a result, competition now revolves not only around subscriber numbers but also around the ability to generate distinctive content that ensures sustained audience loyalty.</w:t>
      </w:r>
    </w:p>
    <w:p w14:paraId="1A369BD7"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In this context, the Spanish case gains particular relevance with the arrival of the first national fiction productions on streaming platforms in 2016, a turning point that positioned the Spanish VOD industry within the global landscape (Hidalgo</w:t>
      </w:r>
      <w:r w:rsidRPr="00BD62E7">
        <w:rPr>
          <w:rFonts w:ascii="Cambria Math" w:eastAsia="Cambria Math" w:hAnsi="Cambria Math" w:cs="Cambria Math"/>
          <w:color w:val="231F20"/>
          <w:sz w:val="20"/>
          <w:szCs w:val="20"/>
          <w:lang w:val="en-GB"/>
        </w:rPr>
        <w:t>‑</w:t>
      </w:r>
      <w:r w:rsidRPr="00BD62E7">
        <w:rPr>
          <w:color w:val="231F20"/>
          <w:sz w:val="20"/>
          <w:szCs w:val="20"/>
          <w:lang w:val="en-GB"/>
        </w:rPr>
        <w:t>Marí, Segarra</w:t>
      </w:r>
      <w:r w:rsidRPr="00BD62E7">
        <w:rPr>
          <w:rFonts w:ascii="Cambria Math" w:eastAsia="Cambria Math" w:hAnsi="Cambria Math" w:cs="Cambria Math"/>
          <w:color w:val="231F20"/>
          <w:sz w:val="20"/>
          <w:szCs w:val="20"/>
          <w:lang w:val="en-GB"/>
        </w:rPr>
        <w:t>‑</w:t>
      </w:r>
      <w:r w:rsidRPr="00BD62E7">
        <w:rPr>
          <w:color w:val="231F20"/>
          <w:sz w:val="20"/>
          <w:szCs w:val="20"/>
          <w:lang w:val="en-GB"/>
        </w:rPr>
        <w:t>Saavedra &amp; Palomares</w:t>
      </w:r>
      <w:r w:rsidRPr="00BD62E7">
        <w:rPr>
          <w:rFonts w:ascii="Cambria Math" w:eastAsia="Cambria Math" w:hAnsi="Cambria Math" w:cs="Cambria Math"/>
          <w:color w:val="231F20"/>
          <w:sz w:val="20"/>
          <w:szCs w:val="20"/>
          <w:lang w:val="en-GB"/>
        </w:rPr>
        <w:t>‑</w:t>
      </w:r>
      <w:r w:rsidRPr="00BD62E7">
        <w:rPr>
          <w:color w:val="231F20"/>
          <w:sz w:val="20"/>
          <w:szCs w:val="20"/>
          <w:lang w:val="en-GB"/>
        </w:rPr>
        <w:t>Sánchez, 2022). Since then, platforms have intensified their investment in local original productions, incorporating Spanish works into their catalogues as part of their strategies for expansion and international export (Hidalgo</w:t>
      </w:r>
      <w:r w:rsidRPr="00BD62E7">
        <w:rPr>
          <w:rFonts w:ascii="Cambria Math" w:eastAsia="Cambria Math" w:hAnsi="Cambria Math" w:cs="Cambria Math"/>
          <w:color w:val="231F20"/>
          <w:sz w:val="20"/>
          <w:szCs w:val="20"/>
          <w:lang w:val="en-GB"/>
        </w:rPr>
        <w:t>‑</w:t>
      </w:r>
      <w:r w:rsidRPr="00BD62E7">
        <w:rPr>
          <w:color w:val="231F20"/>
          <w:sz w:val="20"/>
          <w:szCs w:val="20"/>
          <w:lang w:val="en-GB"/>
        </w:rPr>
        <w:t>Marí &amp; García</w:t>
      </w:r>
      <w:r w:rsidRPr="00BD62E7">
        <w:rPr>
          <w:rFonts w:ascii="Cambria Math" w:eastAsia="Cambria Math" w:hAnsi="Cambria Math" w:cs="Cambria Math"/>
          <w:color w:val="231F20"/>
          <w:sz w:val="20"/>
          <w:szCs w:val="20"/>
          <w:lang w:val="en-GB"/>
        </w:rPr>
        <w:t>‑</w:t>
      </w:r>
      <w:r w:rsidRPr="00BD62E7">
        <w:rPr>
          <w:color w:val="231F20"/>
          <w:sz w:val="20"/>
          <w:szCs w:val="20"/>
          <w:lang w:val="en-GB"/>
        </w:rPr>
        <w:t>Escrivá, 2024). Within this framework, creative responsibility has gained prominence as a means for both producers and platforms to develop content that, grounded in real events and specific sociocultural contexts, finds in fiction a channel for representation (Antezana, 2024; Gutiérrez</w:t>
      </w:r>
      <w:r w:rsidRPr="00BD62E7">
        <w:rPr>
          <w:rFonts w:ascii="Cambria Math" w:eastAsia="Cambria Math" w:hAnsi="Cambria Math" w:cs="Cambria Math"/>
          <w:color w:val="231F20"/>
          <w:sz w:val="20"/>
          <w:szCs w:val="20"/>
          <w:lang w:val="en-GB"/>
        </w:rPr>
        <w:t>‑</w:t>
      </w:r>
      <w:r w:rsidRPr="00BD62E7">
        <w:rPr>
          <w:color w:val="231F20"/>
          <w:sz w:val="20"/>
          <w:szCs w:val="20"/>
          <w:lang w:val="en-GB"/>
        </w:rPr>
        <w:t>González &amp; Uribe</w:t>
      </w:r>
      <w:r w:rsidRPr="00BD62E7">
        <w:rPr>
          <w:rFonts w:ascii="Cambria Math" w:eastAsia="Cambria Math" w:hAnsi="Cambria Math" w:cs="Cambria Math"/>
          <w:color w:val="231F20"/>
          <w:sz w:val="20"/>
          <w:szCs w:val="20"/>
          <w:lang w:val="en-GB"/>
        </w:rPr>
        <w:t>‑</w:t>
      </w:r>
      <w:proofErr w:type="spellStart"/>
      <w:r w:rsidRPr="00BD62E7">
        <w:rPr>
          <w:color w:val="231F20"/>
          <w:sz w:val="20"/>
          <w:szCs w:val="20"/>
          <w:lang w:val="en-GB"/>
        </w:rPr>
        <w:t>Jongbloed</w:t>
      </w:r>
      <w:proofErr w:type="spellEnd"/>
      <w:r w:rsidRPr="00BD62E7">
        <w:rPr>
          <w:color w:val="231F20"/>
          <w:sz w:val="20"/>
          <w:szCs w:val="20"/>
          <w:lang w:val="en-GB"/>
        </w:rPr>
        <w:t>, 2025).</w:t>
      </w:r>
    </w:p>
    <w:p w14:paraId="3C054273"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From a narrative perspective, platforms have facilitated greater thematic, formal and structural freedom that transcends traditional boundaries between film and television. The model of seriality inherent to streaming encourages experimentation with genres, durations and formats, resulting in products that deviate from the conventions of classic television storytelling. Digital distribution, in turn, has accelerated processes of internationalisation, enabling content developed in local contexts to reach global audiences in a nearly simultaneous manner (</w:t>
      </w:r>
      <w:proofErr w:type="spellStart"/>
      <w:r w:rsidRPr="00BD62E7">
        <w:rPr>
          <w:color w:val="231F20"/>
          <w:sz w:val="20"/>
          <w:szCs w:val="20"/>
          <w:lang w:val="en-GB"/>
        </w:rPr>
        <w:t>Chalaby</w:t>
      </w:r>
      <w:proofErr w:type="spellEnd"/>
      <w:r w:rsidRPr="00BD62E7">
        <w:rPr>
          <w:color w:val="231F20"/>
          <w:sz w:val="20"/>
          <w:szCs w:val="20"/>
          <w:lang w:val="en-GB"/>
        </w:rPr>
        <w:t>, 2016). Together, these transformations configure a new audiovisual paradigm that profoundly conditions both the form and substance of contemporary productions, including the rise of true crime as a narrative format firmly rooted in the VOD landscape.</w:t>
      </w:r>
    </w:p>
    <w:p w14:paraId="30D30A39"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In the streaming era, the production of true crime has achieved notable popularity, establishing itself as one of the most in</w:t>
      </w:r>
      <w:r w:rsidRPr="00BD62E7">
        <w:rPr>
          <w:rFonts w:ascii="Cambria Math" w:eastAsia="Cambria Math" w:hAnsi="Cambria Math" w:cs="Cambria Math"/>
          <w:color w:val="231F20"/>
          <w:sz w:val="20"/>
          <w:szCs w:val="20"/>
          <w:lang w:val="en-GB"/>
        </w:rPr>
        <w:t>‑</w:t>
      </w:r>
      <w:r w:rsidRPr="00BD62E7">
        <w:rPr>
          <w:color w:val="231F20"/>
          <w:sz w:val="20"/>
          <w:szCs w:val="20"/>
          <w:lang w:val="en-GB"/>
        </w:rPr>
        <w:t>demand and profitable genres on subscription</w:t>
      </w:r>
      <w:r w:rsidRPr="00BD62E7">
        <w:rPr>
          <w:rFonts w:ascii="Cambria Math" w:eastAsia="Cambria Math" w:hAnsi="Cambria Math" w:cs="Cambria Math"/>
          <w:color w:val="231F20"/>
          <w:sz w:val="20"/>
          <w:szCs w:val="20"/>
          <w:lang w:val="en-GB"/>
        </w:rPr>
        <w:t>‑</w:t>
      </w:r>
      <w:r w:rsidRPr="00BD62E7">
        <w:rPr>
          <w:color w:val="231F20"/>
          <w:sz w:val="20"/>
          <w:szCs w:val="20"/>
          <w:lang w:val="en-GB"/>
        </w:rPr>
        <w:t>based video</w:t>
      </w:r>
      <w:r w:rsidRPr="00BD62E7">
        <w:rPr>
          <w:rFonts w:ascii="Cambria Math" w:eastAsia="Cambria Math" w:hAnsi="Cambria Math" w:cs="Cambria Math"/>
          <w:color w:val="231F20"/>
          <w:sz w:val="20"/>
          <w:szCs w:val="20"/>
          <w:lang w:val="en-GB"/>
        </w:rPr>
        <w:t>‑</w:t>
      </w:r>
      <w:r w:rsidRPr="00BD62E7">
        <w:rPr>
          <w:color w:val="231F20"/>
          <w:sz w:val="20"/>
          <w:szCs w:val="20"/>
          <w:lang w:val="en-GB"/>
        </w:rPr>
        <w:t>on</w:t>
      </w:r>
      <w:r w:rsidRPr="00BD62E7">
        <w:rPr>
          <w:rFonts w:ascii="Cambria Math" w:eastAsia="Cambria Math" w:hAnsi="Cambria Math" w:cs="Cambria Math"/>
          <w:color w:val="231F20"/>
          <w:sz w:val="20"/>
          <w:szCs w:val="20"/>
          <w:lang w:val="en-GB"/>
        </w:rPr>
        <w:t>‑</w:t>
      </w:r>
      <w:r w:rsidRPr="00BD62E7">
        <w:rPr>
          <w:color w:val="231F20"/>
          <w:sz w:val="20"/>
          <w:szCs w:val="20"/>
          <w:lang w:val="en-GB"/>
        </w:rPr>
        <w:t>demand platforms (</w:t>
      </w:r>
      <w:proofErr w:type="spellStart"/>
      <w:r w:rsidRPr="00BD62E7">
        <w:rPr>
          <w:color w:val="231F20"/>
          <w:sz w:val="20"/>
          <w:szCs w:val="20"/>
          <w:lang w:val="en-GB"/>
        </w:rPr>
        <w:t>Warmedal</w:t>
      </w:r>
      <w:proofErr w:type="spellEnd"/>
      <w:r w:rsidRPr="00BD62E7">
        <w:rPr>
          <w:color w:val="231F20"/>
          <w:sz w:val="20"/>
          <w:szCs w:val="20"/>
          <w:lang w:val="en-GB"/>
        </w:rPr>
        <w:t>, 2018). Immediate accessibility, combined with the possibility of binge</w:t>
      </w:r>
      <w:r w:rsidRPr="00BD62E7">
        <w:rPr>
          <w:rFonts w:ascii="Cambria Math" w:eastAsia="Cambria Math" w:hAnsi="Cambria Math" w:cs="Cambria Math"/>
          <w:color w:val="231F20"/>
          <w:sz w:val="20"/>
          <w:szCs w:val="20"/>
          <w:lang w:val="en-GB"/>
        </w:rPr>
        <w:t>‑</w:t>
      </w:r>
      <w:r w:rsidRPr="00BD62E7">
        <w:rPr>
          <w:color w:val="231F20"/>
          <w:sz w:val="20"/>
          <w:szCs w:val="20"/>
          <w:lang w:val="en-GB"/>
        </w:rPr>
        <w:t>watching, has democratised both consumption and production, allowing the emergence of new voices and narrative approaches that go beyond the mere recounting of crime to incorporate perspectives of victims, relatives or investigators (Eren, 2025). Today, true crime holds a strategic place within digital platforms’ catalogues due to its capacity to attract and retain audiences, its relatively low production cost and its ability to diversify content offerings. In addition, its capacity to generate public debate and social engagement positions these series as key elements for strengthening audience connection and platform visibility (Maddalena, 2022).</w:t>
      </w:r>
    </w:p>
    <w:p w14:paraId="2B3BFB62" w14:textId="77777777" w:rsidR="00083156" w:rsidRPr="00BD62E7" w:rsidRDefault="00000000">
      <w:pPr>
        <w:pStyle w:val="Ttulo1"/>
        <w:widowControl/>
        <w:spacing w:after="80"/>
        <w:ind w:left="426"/>
        <w:rPr>
          <w:rFonts w:ascii="Garamond" w:eastAsia="Garamond" w:hAnsi="Garamond" w:cs="Garamond"/>
          <w:i/>
          <w:iCs/>
          <w:color w:val="98361E"/>
          <w:lang w:val="en-GB"/>
        </w:rPr>
      </w:pPr>
      <w:r w:rsidRPr="00BD62E7">
        <w:rPr>
          <w:rFonts w:ascii="Garamond" w:eastAsia="Garamond" w:hAnsi="Garamond" w:cs="Garamond"/>
          <w:i/>
          <w:iCs/>
          <w:color w:val="98361E"/>
          <w:lang w:val="en-GB"/>
        </w:rPr>
        <w:t>2.1. True crime in the digital era: between informative narration and sensationalism</w:t>
      </w:r>
    </w:p>
    <w:p w14:paraId="3727ADCD"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True crime has consolidated itself as a far</w:t>
      </w:r>
      <w:r w:rsidRPr="00BD62E7">
        <w:rPr>
          <w:rFonts w:ascii="Cambria Math" w:eastAsia="Cambria Math" w:hAnsi="Cambria Math" w:cs="Cambria Math"/>
          <w:color w:val="231F20"/>
          <w:sz w:val="20"/>
          <w:szCs w:val="20"/>
          <w:lang w:val="en-GB"/>
        </w:rPr>
        <w:t>‑</w:t>
      </w:r>
      <w:r w:rsidRPr="00BD62E7">
        <w:rPr>
          <w:color w:val="231F20"/>
          <w:sz w:val="20"/>
          <w:szCs w:val="20"/>
          <w:lang w:val="en-GB"/>
        </w:rPr>
        <w:t xml:space="preserve">reaching and highly popular cultural phenomenon that transcends formats and platforms, becoming a genre capable of attracting global audiences. Although offering a precise and definitive definition of the genre is challenging, several authors recognise its informational foundation, as the existence of a real criminal event is essential for any narrative within the genre (Phillips, </w:t>
      </w:r>
      <w:r w:rsidRPr="00BD62E7">
        <w:rPr>
          <w:color w:val="231F20"/>
          <w:sz w:val="20"/>
          <w:szCs w:val="20"/>
          <w:lang w:val="en-GB"/>
        </w:rPr>
        <w:lastRenderedPageBreak/>
        <w:t xml:space="preserve">2017; Tinker, 2018). However, </w:t>
      </w:r>
      <w:proofErr w:type="gramStart"/>
      <w:r w:rsidRPr="00BD62E7">
        <w:rPr>
          <w:color w:val="231F20"/>
          <w:sz w:val="20"/>
          <w:szCs w:val="20"/>
          <w:lang w:val="en-GB"/>
        </w:rPr>
        <w:t>in order to</w:t>
      </w:r>
      <w:proofErr w:type="gramEnd"/>
      <w:r w:rsidRPr="00BD62E7">
        <w:rPr>
          <w:color w:val="231F20"/>
          <w:sz w:val="20"/>
          <w:szCs w:val="20"/>
          <w:lang w:val="en-GB"/>
        </w:rPr>
        <w:t xml:space="preserve"> capture public attention, these narratives often employ storytelling strategies characteristic of fiction (Boling, 2019), which in some cases leads to sensationalist approaches that appeal more to emotional impact than to informational rigour (</w:t>
      </w:r>
      <w:proofErr w:type="spellStart"/>
      <w:r w:rsidRPr="00BD62E7">
        <w:rPr>
          <w:color w:val="231F20"/>
          <w:sz w:val="20"/>
          <w:szCs w:val="20"/>
          <w:lang w:val="en-GB"/>
        </w:rPr>
        <w:t>Horeck</w:t>
      </w:r>
      <w:proofErr w:type="spellEnd"/>
      <w:r w:rsidRPr="00BD62E7">
        <w:rPr>
          <w:color w:val="231F20"/>
          <w:sz w:val="20"/>
          <w:szCs w:val="20"/>
          <w:lang w:val="en-GB"/>
        </w:rPr>
        <w:t xml:space="preserve">, 2019). This interplay results in hybrid products where documentary elements coexist with narrative mechanisms borrowed from fiction (Rowe, 2013; </w:t>
      </w:r>
      <w:proofErr w:type="spellStart"/>
      <w:r w:rsidRPr="00BD62E7">
        <w:rPr>
          <w:color w:val="231F20"/>
          <w:sz w:val="20"/>
          <w:szCs w:val="20"/>
          <w:lang w:val="en-GB"/>
        </w:rPr>
        <w:t>Horeck</w:t>
      </w:r>
      <w:proofErr w:type="spellEnd"/>
      <w:r w:rsidRPr="00BD62E7">
        <w:rPr>
          <w:color w:val="231F20"/>
          <w:sz w:val="20"/>
          <w:szCs w:val="20"/>
          <w:lang w:val="en-GB"/>
        </w:rPr>
        <w:t xml:space="preserve">, 2019; Romero, 2020). As Phillips (2017) argues, the defining element of true crime does not lie in its specific format but in its narrative construction: these are stories grounded in a real crime or traumatic event, reconstructed through the integration of multiple sources </w:t>
      </w:r>
      <w:proofErr w:type="gramStart"/>
      <w:r w:rsidRPr="00BD62E7">
        <w:rPr>
          <w:color w:val="231F20"/>
          <w:sz w:val="20"/>
          <w:szCs w:val="20"/>
          <w:lang w:val="en-GB"/>
        </w:rPr>
        <w:t>in order to</w:t>
      </w:r>
      <w:proofErr w:type="gramEnd"/>
      <w:r w:rsidRPr="00BD62E7">
        <w:rPr>
          <w:color w:val="231F20"/>
          <w:sz w:val="20"/>
          <w:szCs w:val="20"/>
          <w:lang w:val="en-GB"/>
        </w:rPr>
        <w:t xml:space="preserve"> create a coherent and comprehensible account.</w:t>
      </w:r>
    </w:p>
    <w:p w14:paraId="08436B17"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True crime is a narrative genre present across multiple formats and channels, from print publications and traditional television to VOD platforms, podcasts, digital media and film. Although its origins date back more than two centuries in the United States and Western Europe, when accounts of real crimes and violent events first circulated through early communication media (Garrido </w:t>
      </w:r>
      <w:proofErr w:type="spellStart"/>
      <w:r w:rsidRPr="00BD62E7">
        <w:rPr>
          <w:color w:val="231F20"/>
          <w:sz w:val="20"/>
          <w:szCs w:val="20"/>
          <w:lang w:val="en-GB"/>
        </w:rPr>
        <w:t>Genovés</w:t>
      </w:r>
      <w:proofErr w:type="spellEnd"/>
      <w:r w:rsidRPr="00BD62E7">
        <w:rPr>
          <w:color w:val="231F20"/>
          <w:sz w:val="20"/>
          <w:szCs w:val="20"/>
          <w:lang w:val="en-GB"/>
        </w:rPr>
        <w:t>, 2024), its boom in the past decade has intensified with the accessibility and immediacy of content on digital platforms. This is largely due to the personalised experience, serialised formats and episodic structure that encourage viewer loyalty and public debate (Lotz, 2017).</w:t>
      </w:r>
    </w:p>
    <w:p w14:paraId="1D700E20"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Narratively, the genre is structured around in</w:t>
      </w:r>
      <w:r w:rsidRPr="00BD62E7">
        <w:rPr>
          <w:rFonts w:ascii="Cambria Math" w:eastAsia="Cambria Math" w:hAnsi="Cambria Math" w:cs="Cambria Math"/>
          <w:color w:val="231F20"/>
          <w:sz w:val="20"/>
          <w:szCs w:val="20"/>
          <w:lang w:val="en-GB"/>
        </w:rPr>
        <w:t>‑</w:t>
      </w:r>
      <w:r w:rsidRPr="00BD62E7">
        <w:rPr>
          <w:color w:val="231F20"/>
          <w:sz w:val="20"/>
          <w:szCs w:val="20"/>
          <w:lang w:val="en-GB"/>
        </w:rPr>
        <w:t>depth investigation, unresolved mystery and the critical analysis of judicial systems, providing social relevance and depth. It also functions as a mirror of collective fears and inspires interest tied to human fascination with evil, mystery and justice, as well as the desire to understand the motivations driving atrocious acts (Phillips, 2017). However, its widespread popularity has also generated ethical and social debates. Productions such as Monster: The Jeffrey Dahmer Story (Netflix, 2022) have sparked controversy for fostering audience attitudes that challenge ethical boundaries, particularly by encouraging admiration towards criminals.</w:t>
      </w:r>
    </w:p>
    <w:p w14:paraId="6EDAA103"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In Spain, true crime has likewise generated ethical tensions, particularly regarding respect and sensitivity towards victims and families, especially in high</w:t>
      </w:r>
      <w:r w:rsidRPr="00BD62E7">
        <w:rPr>
          <w:rFonts w:ascii="Cambria Math" w:eastAsia="Cambria Math" w:hAnsi="Cambria Math" w:cs="Cambria Math"/>
          <w:color w:val="231F20"/>
          <w:sz w:val="20"/>
          <w:szCs w:val="20"/>
          <w:lang w:val="en-GB"/>
        </w:rPr>
        <w:t>‑</w:t>
      </w:r>
      <w:r w:rsidRPr="00BD62E7">
        <w:rPr>
          <w:color w:val="231F20"/>
          <w:sz w:val="20"/>
          <w:szCs w:val="20"/>
          <w:lang w:val="en-GB"/>
        </w:rPr>
        <w:t xml:space="preserve">profile cases that have marked public attention, such as the media coverage of the </w:t>
      </w:r>
      <w:proofErr w:type="spellStart"/>
      <w:r w:rsidRPr="00BD62E7">
        <w:rPr>
          <w:color w:val="231F20"/>
          <w:sz w:val="20"/>
          <w:szCs w:val="20"/>
          <w:lang w:val="en-GB"/>
        </w:rPr>
        <w:t>Alcàsser</w:t>
      </w:r>
      <w:proofErr w:type="spellEnd"/>
      <w:r w:rsidRPr="00BD62E7">
        <w:rPr>
          <w:color w:val="231F20"/>
          <w:sz w:val="20"/>
          <w:szCs w:val="20"/>
          <w:lang w:val="en-GB"/>
        </w:rPr>
        <w:t xml:space="preserve"> murders (1992). In recent years, several paradigmatic cases have illustrated the legal and ethical dilemmas facing the genre when addressing recent and highly mediatised tragedies. A clear example is El </w:t>
      </w:r>
      <w:proofErr w:type="spellStart"/>
      <w:r w:rsidRPr="00BD62E7">
        <w:rPr>
          <w:color w:val="231F20"/>
          <w:sz w:val="20"/>
          <w:szCs w:val="20"/>
          <w:lang w:val="en-GB"/>
        </w:rPr>
        <w:t>odio</w:t>
      </w:r>
      <w:proofErr w:type="spellEnd"/>
      <w:r w:rsidRPr="00BD62E7">
        <w:rPr>
          <w:color w:val="231F20"/>
          <w:sz w:val="20"/>
          <w:szCs w:val="20"/>
          <w:lang w:val="en-GB"/>
        </w:rPr>
        <w:t xml:space="preserve"> by </w:t>
      </w:r>
      <w:proofErr w:type="spellStart"/>
      <w:r w:rsidRPr="00BD62E7">
        <w:rPr>
          <w:color w:val="231F20"/>
          <w:sz w:val="20"/>
          <w:szCs w:val="20"/>
          <w:lang w:val="en-GB"/>
        </w:rPr>
        <w:t>Luisgé</w:t>
      </w:r>
      <w:proofErr w:type="spellEnd"/>
      <w:r w:rsidRPr="00BD62E7">
        <w:rPr>
          <w:color w:val="231F20"/>
          <w:sz w:val="20"/>
          <w:szCs w:val="20"/>
          <w:lang w:val="en-GB"/>
        </w:rPr>
        <w:t xml:space="preserve"> Martín, based on the case of José Bretón — convicted of murdering his children — whose publication was suspended indefinitely by the publishing house </w:t>
      </w:r>
      <w:proofErr w:type="spellStart"/>
      <w:r w:rsidRPr="00BD62E7">
        <w:rPr>
          <w:color w:val="231F20"/>
          <w:sz w:val="20"/>
          <w:szCs w:val="20"/>
          <w:lang w:val="en-GB"/>
        </w:rPr>
        <w:t>Anagrama</w:t>
      </w:r>
      <w:proofErr w:type="spellEnd"/>
      <w:r w:rsidRPr="00BD62E7">
        <w:rPr>
          <w:color w:val="231F20"/>
          <w:sz w:val="20"/>
          <w:szCs w:val="20"/>
          <w:lang w:val="en-GB"/>
        </w:rPr>
        <w:t xml:space="preserve"> following public and legal opposition led by Ruth Ortiz, mother of the victims (Morla, 2025). Similarly, the docuseries Angi: Crimen y </w:t>
      </w:r>
      <w:proofErr w:type="spellStart"/>
      <w:r w:rsidRPr="00BD62E7">
        <w:rPr>
          <w:color w:val="231F20"/>
          <w:sz w:val="20"/>
          <w:szCs w:val="20"/>
          <w:lang w:val="en-GB"/>
        </w:rPr>
        <w:t>mentira</w:t>
      </w:r>
      <w:proofErr w:type="spellEnd"/>
      <w:r w:rsidRPr="00BD62E7">
        <w:rPr>
          <w:color w:val="231F20"/>
          <w:sz w:val="20"/>
          <w:szCs w:val="20"/>
          <w:lang w:val="en-GB"/>
        </w:rPr>
        <w:t>, produced by Brutal Media for Netflix, was initially halted by judicial order after legal action by individuals linked to the case, motivated by concerns over potential harm caused to relatives and the accused. However, after legal review and subsequent modifications, Netflix has recently been allowed to release the series (</w:t>
      </w:r>
      <w:proofErr w:type="spellStart"/>
      <w:r w:rsidRPr="00BD62E7">
        <w:rPr>
          <w:color w:val="231F20"/>
          <w:sz w:val="20"/>
          <w:szCs w:val="20"/>
          <w:lang w:val="en-GB"/>
        </w:rPr>
        <w:t>Mucientes</w:t>
      </w:r>
      <w:proofErr w:type="spellEnd"/>
      <w:r w:rsidRPr="00BD62E7">
        <w:rPr>
          <w:color w:val="231F20"/>
          <w:sz w:val="20"/>
          <w:szCs w:val="20"/>
          <w:lang w:val="en-GB"/>
        </w:rPr>
        <w:t>, 2025).</w:t>
      </w:r>
    </w:p>
    <w:p w14:paraId="545FE38E" w14:textId="77777777" w:rsidR="00083156" w:rsidRPr="00BD62E7" w:rsidRDefault="00000000">
      <w:pPr>
        <w:widowControl/>
        <w:pBdr>
          <w:top w:val="nil"/>
          <w:left w:val="nil"/>
          <w:bottom w:val="nil"/>
          <w:right w:val="nil"/>
          <w:between w:val="nil"/>
        </w:pBdr>
        <w:spacing w:after="80"/>
        <w:ind w:left="426" w:right="370"/>
        <w:jc w:val="both"/>
        <w:rPr>
          <w:color w:val="000000"/>
          <w:sz w:val="29"/>
          <w:szCs w:val="29"/>
          <w:lang w:val="en-GB"/>
        </w:rPr>
      </w:pPr>
      <w:r w:rsidRPr="00BD62E7">
        <w:rPr>
          <w:color w:val="231F20"/>
          <w:sz w:val="20"/>
          <w:szCs w:val="20"/>
          <w:lang w:val="en-GB"/>
        </w:rPr>
        <w:t xml:space="preserve">On the other hand, one of the most relevant findings concerning consumption of the genre is that its majority audience in Spain consists of women, particularly in television and podcast formats (Bretón, 2023). This trend has been explained partly by the greater fear of crime experienced by many women, especially regarding the possibility of sexual assault. Some studies argue that female audiences are drawn to narratives offering information relevant for “defensive vigilance”, meaning strategies to prevent and respond to risky situations, including practical advice and insights into the motivational profile of offenders (Vicary, 2010). Likewise, a study involving 525 female university students found that, in addition to defensive vigilance, motivations for consuming true crime </w:t>
      </w:r>
      <w:r w:rsidRPr="00BD62E7">
        <w:rPr>
          <w:color w:val="231F20"/>
          <w:sz w:val="20"/>
          <w:szCs w:val="20"/>
          <w:lang w:val="en-GB"/>
        </w:rPr>
        <w:lastRenderedPageBreak/>
        <w:t>include the thrill of engaging with dark or taboo content and the sense of authenticity derived from real events and the judicial resolution of cases (McDonald, 2021). For this reason, it is pertinent to examine how true crime narratives are constructed in terms of gender — that is, who occupies the centre of the narrative and from which perspective they are portrayed (offender, victim or falsely accused). Ultimately, this perspective enables an assessment of the extent to which contemporary true crime reinforces, challenges or transforms gendered imaginaries related to crime and violence.</w:t>
      </w:r>
    </w:p>
    <w:p w14:paraId="7DA994FA" w14:textId="77777777" w:rsidR="00083156" w:rsidRDefault="00000000">
      <w:pPr>
        <w:pStyle w:val="Ttulo1"/>
        <w:widowControl/>
        <w:numPr>
          <w:ilvl w:val="0"/>
          <w:numId w:val="2"/>
        </w:numPr>
        <w:spacing w:after="80"/>
        <w:ind w:left="426" w:firstLine="0"/>
        <w:rPr>
          <w:rFonts w:ascii="Garamond" w:eastAsia="Garamond" w:hAnsi="Garamond" w:cs="Garamond"/>
          <w:b/>
          <w:bCs/>
          <w:color w:val="98361E"/>
        </w:rPr>
      </w:pPr>
      <w:proofErr w:type="spellStart"/>
      <w:r>
        <w:rPr>
          <w:rFonts w:ascii="Garamond" w:eastAsia="Garamond" w:hAnsi="Garamond" w:cs="Garamond"/>
          <w:b/>
          <w:bCs/>
          <w:color w:val="98361E"/>
        </w:rPr>
        <w:t>Objectives</w:t>
      </w:r>
      <w:proofErr w:type="spellEnd"/>
      <w:r>
        <w:rPr>
          <w:rFonts w:ascii="Garamond" w:eastAsia="Garamond" w:hAnsi="Garamond" w:cs="Garamond"/>
          <w:b/>
          <w:bCs/>
          <w:color w:val="98361E"/>
        </w:rPr>
        <w:t xml:space="preserve"> and </w:t>
      </w:r>
      <w:proofErr w:type="spellStart"/>
      <w:r>
        <w:rPr>
          <w:rFonts w:ascii="Garamond" w:eastAsia="Garamond" w:hAnsi="Garamond" w:cs="Garamond"/>
          <w:b/>
          <w:bCs/>
          <w:color w:val="98361E"/>
        </w:rPr>
        <w:t>methodology</w:t>
      </w:r>
      <w:proofErr w:type="spellEnd"/>
    </w:p>
    <w:p w14:paraId="6DC52537"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The overall aim of this research is to analyse the narrative features and trends of true crime productions made for video</w:t>
      </w:r>
      <w:r w:rsidRPr="00BD62E7">
        <w:rPr>
          <w:rFonts w:ascii="Cambria Math" w:eastAsia="Cambria Math" w:hAnsi="Cambria Math" w:cs="Cambria Math"/>
          <w:color w:val="231F20"/>
          <w:sz w:val="20"/>
          <w:szCs w:val="20"/>
          <w:lang w:val="en-GB"/>
        </w:rPr>
        <w:t>‑</w:t>
      </w:r>
      <w:r w:rsidRPr="00BD62E7">
        <w:rPr>
          <w:color w:val="231F20"/>
          <w:sz w:val="20"/>
          <w:szCs w:val="20"/>
          <w:lang w:val="en-GB"/>
        </w:rPr>
        <w:t>on</w:t>
      </w:r>
      <w:r w:rsidRPr="00BD62E7">
        <w:rPr>
          <w:rFonts w:ascii="Cambria Math" w:eastAsia="Cambria Math" w:hAnsi="Cambria Math" w:cs="Cambria Math"/>
          <w:color w:val="231F20"/>
          <w:sz w:val="20"/>
          <w:szCs w:val="20"/>
          <w:lang w:val="en-GB"/>
        </w:rPr>
        <w:t>‑</w:t>
      </w:r>
      <w:r w:rsidRPr="00BD62E7">
        <w:rPr>
          <w:color w:val="231F20"/>
          <w:sz w:val="20"/>
          <w:szCs w:val="20"/>
          <w:lang w:val="en-GB"/>
        </w:rPr>
        <w:t>demand (VOD) platforms throughout their recent history (2016–2025). From this general aim, the following specific objectives are derived:</w:t>
      </w:r>
    </w:p>
    <w:p w14:paraId="3F31AC7C"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SO1. To identify the predominant formats and narrative structures in true crime productions, as well as their temporal and platform</w:t>
      </w:r>
      <w:r w:rsidRPr="00BD62E7">
        <w:rPr>
          <w:rFonts w:ascii="Cambria Math" w:eastAsia="Cambria Math" w:hAnsi="Cambria Math" w:cs="Cambria Math"/>
          <w:color w:val="231F20"/>
          <w:sz w:val="20"/>
          <w:szCs w:val="20"/>
          <w:lang w:val="en-GB"/>
        </w:rPr>
        <w:t>‑</w:t>
      </w:r>
      <w:r w:rsidRPr="00BD62E7">
        <w:rPr>
          <w:color w:val="231F20"/>
          <w:sz w:val="20"/>
          <w:szCs w:val="20"/>
          <w:lang w:val="en-GB"/>
        </w:rPr>
        <w:t>based distribution.</w:t>
      </w:r>
    </w:p>
    <w:p w14:paraId="6FB2F479"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SO2. To analyse the protagonism assigned to women and men in the narratives — both as victims and as alleged perpetrators — </w:t>
      </w:r>
      <w:proofErr w:type="gramStart"/>
      <w:r w:rsidRPr="00BD62E7">
        <w:rPr>
          <w:color w:val="231F20"/>
          <w:sz w:val="20"/>
          <w:szCs w:val="20"/>
          <w:lang w:val="en-GB"/>
        </w:rPr>
        <w:t>in order to</w:t>
      </w:r>
      <w:proofErr w:type="gramEnd"/>
      <w:r w:rsidRPr="00BD62E7">
        <w:rPr>
          <w:color w:val="231F20"/>
          <w:sz w:val="20"/>
          <w:szCs w:val="20"/>
          <w:lang w:val="en-GB"/>
        </w:rPr>
        <w:t xml:space="preserve"> identify patterns from a gender</w:t>
      </w:r>
      <w:r w:rsidRPr="00BD62E7">
        <w:rPr>
          <w:rFonts w:ascii="Cambria Math" w:eastAsia="Cambria Math" w:hAnsi="Cambria Math" w:cs="Cambria Math"/>
          <w:color w:val="231F20"/>
          <w:sz w:val="20"/>
          <w:szCs w:val="20"/>
          <w:lang w:val="en-GB"/>
        </w:rPr>
        <w:t>‑</w:t>
      </w:r>
      <w:r w:rsidRPr="00BD62E7">
        <w:rPr>
          <w:color w:val="231F20"/>
          <w:sz w:val="20"/>
          <w:szCs w:val="20"/>
          <w:lang w:val="en-GB"/>
        </w:rPr>
        <w:t>based perspective.</w:t>
      </w:r>
    </w:p>
    <w:p w14:paraId="3F59C795"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SO3. To examine the cases represented in the productions, paying attention to their temporal context and the relational dynamics between victims and accused individuals, to detect possible processes of narrative repetition within contemporary true crime offerings.</w:t>
      </w:r>
    </w:p>
    <w:p w14:paraId="724A8242"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The study adopts a mixed methodological approach, combining quantitative data derived from the systematisation of information with qualitative analysis focused on the interpretation of results. The selection of productions was carried out through searches in specialised databases (IMDb and </w:t>
      </w:r>
      <w:proofErr w:type="spellStart"/>
      <w:r w:rsidRPr="00BD62E7">
        <w:rPr>
          <w:color w:val="231F20"/>
          <w:sz w:val="20"/>
          <w:szCs w:val="20"/>
          <w:lang w:val="en-GB"/>
        </w:rPr>
        <w:t>FilmAffinity</w:t>
      </w:r>
      <w:proofErr w:type="spellEnd"/>
      <w:r w:rsidRPr="00BD62E7">
        <w:rPr>
          <w:color w:val="231F20"/>
          <w:sz w:val="20"/>
          <w:szCs w:val="20"/>
          <w:lang w:val="en-GB"/>
        </w:rPr>
        <w:t>), as well as in the catalogues of the main streaming platforms operating in Spain.</w:t>
      </w:r>
    </w:p>
    <w:p w14:paraId="2F7403BB"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The inclusion criteria established for the selection of the sample were as follows: (a) Spanish series, miniseries and films; (b) fiction and non</w:t>
      </w:r>
      <w:r w:rsidRPr="00BD62E7">
        <w:rPr>
          <w:rFonts w:ascii="Cambria Math" w:eastAsia="Cambria Math" w:hAnsi="Cambria Math" w:cs="Cambria Math"/>
          <w:color w:val="231F20"/>
          <w:sz w:val="20"/>
          <w:szCs w:val="20"/>
          <w:lang w:val="en-GB"/>
        </w:rPr>
        <w:t>‑</w:t>
      </w:r>
      <w:r w:rsidRPr="00BD62E7">
        <w:rPr>
          <w:color w:val="231F20"/>
          <w:sz w:val="20"/>
          <w:szCs w:val="20"/>
          <w:lang w:val="en-GB"/>
        </w:rPr>
        <w:t>fiction; (c) original productions from video</w:t>
      </w:r>
      <w:r w:rsidRPr="00BD62E7">
        <w:rPr>
          <w:rFonts w:ascii="Cambria Math" w:eastAsia="Cambria Math" w:hAnsi="Cambria Math" w:cs="Cambria Math"/>
          <w:color w:val="231F20"/>
          <w:sz w:val="20"/>
          <w:szCs w:val="20"/>
          <w:lang w:val="en-GB"/>
        </w:rPr>
        <w:t>‑</w:t>
      </w:r>
      <w:r w:rsidRPr="00BD62E7">
        <w:rPr>
          <w:color w:val="231F20"/>
          <w:sz w:val="20"/>
          <w:szCs w:val="20"/>
          <w:lang w:val="en-GB"/>
        </w:rPr>
        <w:t>on</w:t>
      </w:r>
      <w:r w:rsidRPr="00BD62E7">
        <w:rPr>
          <w:rFonts w:ascii="Cambria Math" w:eastAsia="Cambria Math" w:hAnsi="Cambria Math" w:cs="Cambria Math"/>
          <w:color w:val="231F20"/>
          <w:sz w:val="20"/>
          <w:szCs w:val="20"/>
          <w:lang w:val="en-GB"/>
        </w:rPr>
        <w:t>‑</w:t>
      </w:r>
      <w:r w:rsidRPr="00BD62E7">
        <w:rPr>
          <w:color w:val="231F20"/>
          <w:sz w:val="20"/>
          <w:szCs w:val="20"/>
          <w:lang w:val="en-GB"/>
        </w:rPr>
        <w:t>demand platforms; (d) released between 2016 and 2025; (e) belonging to the true crime genre, specifically centred on homicide cases.</w:t>
      </w:r>
    </w:p>
    <w:p w14:paraId="10BFEA30"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This final criterion responds to a deliberate methodological delimitation aimed at analysing a homogeneous and particularly relevant subgenre within true crime, characterised by strong thematic and narrative recurrence in VOD offerings.</w:t>
      </w:r>
    </w:p>
    <w:p w14:paraId="2D87F154" w14:textId="77777777" w:rsidR="00083156" w:rsidRPr="00BD62E7" w:rsidRDefault="00000000">
      <w:pPr>
        <w:widowControl/>
        <w:pBdr>
          <w:top w:val="nil"/>
          <w:left w:val="nil"/>
          <w:bottom w:val="nil"/>
          <w:right w:val="nil"/>
          <w:between w:val="nil"/>
        </w:pBdr>
        <w:spacing w:after="80"/>
        <w:ind w:left="426" w:right="370"/>
        <w:jc w:val="both"/>
        <w:rPr>
          <w:color w:val="000000"/>
          <w:sz w:val="20"/>
          <w:szCs w:val="20"/>
          <w:lang w:val="en-GB"/>
        </w:rPr>
      </w:pPr>
      <w:r w:rsidRPr="00BD62E7">
        <w:rPr>
          <w:color w:val="231F20"/>
          <w:sz w:val="20"/>
          <w:szCs w:val="20"/>
          <w:lang w:val="en-GB"/>
        </w:rPr>
        <w:t xml:space="preserve">The final sample consists of 35 Spanish original productions from the platforms Netflix, HBO Max, Prime Video, </w:t>
      </w:r>
      <w:proofErr w:type="spellStart"/>
      <w:r w:rsidRPr="00BD62E7">
        <w:rPr>
          <w:color w:val="231F20"/>
          <w:sz w:val="20"/>
          <w:szCs w:val="20"/>
          <w:lang w:val="en-GB"/>
        </w:rPr>
        <w:t>Atresplayer</w:t>
      </w:r>
      <w:proofErr w:type="spellEnd"/>
      <w:r w:rsidRPr="00BD62E7">
        <w:rPr>
          <w:color w:val="231F20"/>
          <w:sz w:val="20"/>
          <w:szCs w:val="20"/>
          <w:lang w:val="en-GB"/>
        </w:rPr>
        <w:t xml:space="preserve">, Movistar+, </w:t>
      </w:r>
      <w:proofErr w:type="spellStart"/>
      <w:r w:rsidRPr="00BD62E7">
        <w:rPr>
          <w:color w:val="231F20"/>
          <w:sz w:val="20"/>
          <w:szCs w:val="20"/>
          <w:lang w:val="en-GB"/>
        </w:rPr>
        <w:t>SkyShowtime</w:t>
      </w:r>
      <w:proofErr w:type="spellEnd"/>
      <w:r w:rsidRPr="00BD62E7">
        <w:rPr>
          <w:color w:val="231F20"/>
          <w:sz w:val="20"/>
          <w:szCs w:val="20"/>
          <w:lang w:val="en-GB"/>
        </w:rPr>
        <w:t>, Disney+ and RTVE Play/</w:t>
      </w:r>
      <w:proofErr w:type="spellStart"/>
      <w:r w:rsidRPr="00BD62E7">
        <w:rPr>
          <w:color w:val="231F20"/>
          <w:sz w:val="20"/>
          <w:szCs w:val="20"/>
          <w:lang w:val="en-GB"/>
        </w:rPr>
        <w:t>Playz</w:t>
      </w:r>
      <w:proofErr w:type="spellEnd"/>
      <w:r w:rsidRPr="00BD62E7">
        <w:rPr>
          <w:color w:val="231F20"/>
          <w:sz w:val="20"/>
          <w:szCs w:val="20"/>
          <w:lang w:val="en-GB"/>
        </w:rPr>
        <w:t>. All productions released between 2016 — the year in which VOD platforms began to consolidate in Spain — and the first half of 2025 were considered, with the aim of capturing both the evolution of the genre and the most recent trends. To analyse the collected information, a data</w:t>
      </w:r>
      <w:r w:rsidRPr="00BD62E7">
        <w:rPr>
          <w:rFonts w:ascii="Cambria Math" w:eastAsia="Cambria Math" w:hAnsi="Cambria Math" w:cs="Cambria Math"/>
          <w:color w:val="231F20"/>
          <w:sz w:val="20"/>
          <w:szCs w:val="20"/>
          <w:lang w:val="en-GB"/>
        </w:rPr>
        <w:t>‑</w:t>
      </w:r>
      <w:r w:rsidRPr="00BD62E7">
        <w:rPr>
          <w:color w:val="231F20"/>
          <w:sz w:val="20"/>
          <w:szCs w:val="20"/>
          <w:lang w:val="en-GB"/>
        </w:rPr>
        <w:t xml:space="preserve">collection table (Table 1) was developed, incorporating a series of variables organised into two thematic blocks: production, which includes technical and distribution aspects; and narrative, focused on the characteristics of protagonism and the crime </w:t>
      </w:r>
      <w:proofErr w:type="gramStart"/>
      <w:r w:rsidRPr="00BD62E7">
        <w:rPr>
          <w:color w:val="231F20"/>
          <w:sz w:val="20"/>
          <w:szCs w:val="20"/>
          <w:lang w:val="en-GB"/>
        </w:rPr>
        <w:t>represented..</w:t>
      </w:r>
      <w:proofErr w:type="gramEnd"/>
    </w:p>
    <w:p w14:paraId="5341FEB4" w14:textId="77777777" w:rsidR="00083156" w:rsidRDefault="00000000">
      <w:pPr>
        <w:widowControl/>
        <w:pBdr>
          <w:top w:val="nil"/>
          <w:left w:val="nil"/>
          <w:bottom w:val="nil"/>
          <w:right w:val="nil"/>
          <w:between w:val="nil"/>
        </w:pBdr>
        <w:spacing w:after="80"/>
        <w:ind w:left="647" w:right="684"/>
        <w:jc w:val="center"/>
        <w:rPr>
          <w:rFonts w:ascii="Arial" w:eastAsia="Arial" w:hAnsi="Arial" w:cs="Arial"/>
        </w:rPr>
      </w:pPr>
      <w:r>
        <w:rPr>
          <w:color w:val="231F20"/>
          <w:sz w:val="20"/>
          <w:szCs w:val="20"/>
        </w:rPr>
        <w:t xml:space="preserve">Table 1. </w:t>
      </w:r>
      <w:proofErr w:type="spellStart"/>
      <w:r>
        <w:rPr>
          <w:color w:val="231F20"/>
          <w:sz w:val="20"/>
          <w:szCs w:val="20"/>
        </w:rPr>
        <w:t>Analytical</w:t>
      </w:r>
      <w:proofErr w:type="spellEnd"/>
      <w:r>
        <w:rPr>
          <w:color w:val="231F20"/>
          <w:sz w:val="20"/>
          <w:szCs w:val="20"/>
        </w:rPr>
        <w:t xml:space="preserve"> variables</w:t>
      </w:r>
    </w:p>
    <w:tbl>
      <w:tblPr>
        <w:tblStyle w:val="af2"/>
        <w:tblW w:w="7000" w:type="dxa"/>
        <w:tblInd w:w="436"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600" w:firstRow="0" w:lastRow="0" w:firstColumn="0" w:lastColumn="0" w:noHBand="1" w:noVBand="1"/>
      </w:tblPr>
      <w:tblGrid>
        <w:gridCol w:w="1930"/>
        <w:gridCol w:w="5070"/>
      </w:tblGrid>
      <w:tr w:rsidR="00083156" w14:paraId="55C4EA07" w14:textId="77777777">
        <w:trPr>
          <w:trHeight w:val="315"/>
        </w:trPr>
        <w:tc>
          <w:tcPr>
            <w:tcW w:w="1930" w:type="dxa"/>
            <w:shd w:val="clear" w:color="auto" w:fill="CCCCCC"/>
            <w:tcMar>
              <w:top w:w="0" w:type="dxa"/>
              <w:bottom w:w="0" w:type="dxa"/>
            </w:tcMar>
            <w:vAlign w:val="center"/>
          </w:tcPr>
          <w:p w14:paraId="25D51B68" w14:textId="77777777" w:rsidR="00083156" w:rsidRDefault="00000000">
            <w:pPr>
              <w:widowControl/>
              <w:ind w:left="100" w:right="100"/>
              <w:jc w:val="center"/>
              <w:rPr>
                <w:b/>
                <w:bCs/>
                <w:sz w:val="20"/>
                <w:szCs w:val="20"/>
              </w:rPr>
            </w:pPr>
            <w:r>
              <w:rPr>
                <w:b/>
                <w:bCs/>
                <w:sz w:val="20"/>
                <w:szCs w:val="20"/>
              </w:rPr>
              <w:t>Block</w:t>
            </w:r>
          </w:p>
        </w:tc>
        <w:tc>
          <w:tcPr>
            <w:tcW w:w="5070" w:type="dxa"/>
            <w:shd w:val="clear" w:color="auto" w:fill="CCCCCC"/>
            <w:tcMar>
              <w:top w:w="0" w:type="dxa"/>
              <w:bottom w:w="0" w:type="dxa"/>
            </w:tcMar>
            <w:vAlign w:val="center"/>
          </w:tcPr>
          <w:p w14:paraId="7B891A5A" w14:textId="77777777" w:rsidR="00083156" w:rsidRDefault="00000000">
            <w:pPr>
              <w:widowControl/>
              <w:ind w:left="100" w:right="100"/>
              <w:jc w:val="center"/>
              <w:rPr>
                <w:b/>
                <w:bCs/>
                <w:sz w:val="20"/>
                <w:szCs w:val="20"/>
              </w:rPr>
            </w:pPr>
            <w:r>
              <w:rPr>
                <w:b/>
                <w:bCs/>
                <w:sz w:val="20"/>
                <w:szCs w:val="20"/>
              </w:rPr>
              <w:t>Label</w:t>
            </w:r>
          </w:p>
        </w:tc>
      </w:tr>
      <w:tr w:rsidR="00083156" w14:paraId="13680CD9" w14:textId="77777777">
        <w:trPr>
          <w:trHeight w:val="315"/>
        </w:trPr>
        <w:tc>
          <w:tcPr>
            <w:tcW w:w="1930" w:type="dxa"/>
            <w:vMerge w:val="restart"/>
            <w:tcMar>
              <w:top w:w="0" w:type="dxa"/>
              <w:bottom w:w="0" w:type="dxa"/>
            </w:tcMar>
            <w:vAlign w:val="center"/>
          </w:tcPr>
          <w:p w14:paraId="7E52E7C7" w14:textId="77777777" w:rsidR="00083156" w:rsidRDefault="00000000">
            <w:pPr>
              <w:widowControl/>
              <w:ind w:left="100" w:right="100"/>
              <w:jc w:val="center"/>
              <w:rPr>
                <w:b/>
                <w:bCs/>
                <w:sz w:val="20"/>
                <w:szCs w:val="20"/>
              </w:rPr>
            </w:pPr>
            <w:proofErr w:type="spellStart"/>
            <w:r>
              <w:rPr>
                <w:b/>
                <w:bCs/>
                <w:sz w:val="20"/>
                <w:szCs w:val="20"/>
              </w:rPr>
              <w:lastRenderedPageBreak/>
              <w:t>Production</w:t>
            </w:r>
            <w:proofErr w:type="spellEnd"/>
          </w:p>
        </w:tc>
        <w:tc>
          <w:tcPr>
            <w:tcW w:w="5070" w:type="dxa"/>
            <w:tcMar>
              <w:top w:w="0" w:type="dxa"/>
              <w:bottom w:w="0" w:type="dxa"/>
            </w:tcMar>
            <w:vAlign w:val="center"/>
          </w:tcPr>
          <w:p w14:paraId="4D92CA4F" w14:textId="77777777" w:rsidR="00083156" w:rsidRDefault="00000000">
            <w:pPr>
              <w:widowControl/>
              <w:ind w:left="100" w:right="100"/>
              <w:rPr>
                <w:sz w:val="20"/>
                <w:szCs w:val="20"/>
              </w:rPr>
            </w:pPr>
            <w:r>
              <w:rPr>
                <w:sz w:val="20"/>
                <w:szCs w:val="20"/>
              </w:rPr>
              <w:t>Title</w:t>
            </w:r>
          </w:p>
        </w:tc>
      </w:tr>
      <w:tr w:rsidR="00083156" w14:paraId="4AC798E3" w14:textId="77777777">
        <w:trPr>
          <w:trHeight w:val="315"/>
        </w:trPr>
        <w:tc>
          <w:tcPr>
            <w:tcW w:w="1930" w:type="dxa"/>
            <w:vMerge/>
            <w:tcMar>
              <w:top w:w="0" w:type="dxa"/>
              <w:bottom w:w="0" w:type="dxa"/>
            </w:tcMar>
            <w:vAlign w:val="center"/>
          </w:tcPr>
          <w:p w14:paraId="19C193A3" w14:textId="77777777" w:rsidR="00083156" w:rsidRDefault="00083156">
            <w:pPr>
              <w:pBdr>
                <w:top w:val="nil"/>
                <w:left w:val="nil"/>
                <w:bottom w:val="nil"/>
                <w:right w:val="nil"/>
                <w:between w:val="nil"/>
              </w:pBdr>
              <w:spacing w:line="276" w:lineRule="auto"/>
              <w:rPr>
                <w:sz w:val="20"/>
                <w:szCs w:val="20"/>
              </w:rPr>
            </w:pPr>
          </w:p>
        </w:tc>
        <w:tc>
          <w:tcPr>
            <w:tcW w:w="5070" w:type="dxa"/>
            <w:tcMar>
              <w:top w:w="0" w:type="dxa"/>
              <w:bottom w:w="0" w:type="dxa"/>
            </w:tcMar>
            <w:vAlign w:val="center"/>
          </w:tcPr>
          <w:p w14:paraId="32498D89" w14:textId="77777777" w:rsidR="00083156" w:rsidRDefault="00000000">
            <w:pPr>
              <w:widowControl/>
              <w:ind w:left="100" w:right="100"/>
              <w:rPr>
                <w:sz w:val="20"/>
                <w:szCs w:val="20"/>
              </w:rPr>
            </w:pPr>
            <w:proofErr w:type="spellStart"/>
            <w:r>
              <w:rPr>
                <w:sz w:val="20"/>
                <w:szCs w:val="20"/>
              </w:rPr>
              <w:t>Platform</w:t>
            </w:r>
            <w:proofErr w:type="spellEnd"/>
          </w:p>
        </w:tc>
      </w:tr>
      <w:tr w:rsidR="00083156" w:rsidRPr="00BD62E7" w14:paraId="2F95EBFC" w14:textId="77777777">
        <w:trPr>
          <w:trHeight w:val="315"/>
        </w:trPr>
        <w:tc>
          <w:tcPr>
            <w:tcW w:w="1930" w:type="dxa"/>
            <w:vMerge/>
            <w:tcMar>
              <w:top w:w="0" w:type="dxa"/>
              <w:bottom w:w="0" w:type="dxa"/>
            </w:tcMar>
            <w:vAlign w:val="center"/>
          </w:tcPr>
          <w:p w14:paraId="66410751" w14:textId="77777777" w:rsidR="00083156" w:rsidRDefault="00083156">
            <w:pPr>
              <w:pBdr>
                <w:top w:val="nil"/>
                <w:left w:val="nil"/>
                <w:bottom w:val="nil"/>
                <w:right w:val="nil"/>
                <w:between w:val="nil"/>
              </w:pBdr>
              <w:spacing w:line="276" w:lineRule="auto"/>
              <w:rPr>
                <w:sz w:val="20"/>
                <w:szCs w:val="20"/>
              </w:rPr>
            </w:pPr>
          </w:p>
        </w:tc>
        <w:tc>
          <w:tcPr>
            <w:tcW w:w="5070" w:type="dxa"/>
            <w:tcMar>
              <w:top w:w="0" w:type="dxa"/>
              <w:bottom w:w="0" w:type="dxa"/>
            </w:tcMar>
            <w:vAlign w:val="center"/>
          </w:tcPr>
          <w:p w14:paraId="67C299DF" w14:textId="77777777" w:rsidR="00083156" w:rsidRPr="00BD62E7" w:rsidRDefault="00000000">
            <w:pPr>
              <w:widowControl/>
              <w:ind w:left="100" w:right="100"/>
              <w:rPr>
                <w:sz w:val="20"/>
                <w:szCs w:val="20"/>
                <w:lang w:val="en-GB"/>
              </w:rPr>
            </w:pPr>
            <w:r w:rsidRPr="00BD62E7">
              <w:rPr>
                <w:sz w:val="20"/>
                <w:szCs w:val="20"/>
                <w:lang w:val="en-GB"/>
              </w:rPr>
              <w:t>Format: film, series or miniseries</w:t>
            </w:r>
          </w:p>
        </w:tc>
      </w:tr>
      <w:tr w:rsidR="00083156" w:rsidRPr="00BD62E7" w14:paraId="3B1E9DEE" w14:textId="77777777">
        <w:trPr>
          <w:trHeight w:val="315"/>
        </w:trPr>
        <w:tc>
          <w:tcPr>
            <w:tcW w:w="1930" w:type="dxa"/>
            <w:vMerge/>
            <w:tcMar>
              <w:top w:w="0" w:type="dxa"/>
              <w:bottom w:w="0" w:type="dxa"/>
            </w:tcMar>
            <w:vAlign w:val="center"/>
          </w:tcPr>
          <w:p w14:paraId="258AF292" w14:textId="77777777" w:rsidR="00083156" w:rsidRPr="00BD62E7" w:rsidRDefault="00083156">
            <w:pPr>
              <w:pBdr>
                <w:top w:val="nil"/>
                <w:left w:val="nil"/>
                <w:bottom w:val="nil"/>
                <w:right w:val="nil"/>
                <w:between w:val="nil"/>
              </w:pBdr>
              <w:spacing w:line="276" w:lineRule="auto"/>
              <w:rPr>
                <w:sz w:val="20"/>
                <w:szCs w:val="20"/>
                <w:lang w:val="en-GB"/>
              </w:rPr>
            </w:pPr>
          </w:p>
        </w:tc>
        <w:tc>
          <w:tcPr>
            <w:tcW w:w="5070" w:type="dxa"/>
            <w:tcMar>
              <w:top w:w="0" w:type="dxa"/>
              <w:bottom w:w="0" w:type="dxa"/>
            </w:tcMar>
            <w:vAlign w:val="center"/>
          </w:tcPr>
          <w:p w14:paraId="5E88A494" w14:textId="77777777" w:rsidR="00083156" w:rsidRPr="00BD62E7" w:rsidRDefault="00000000">
            <w:pPr>
              <w:widowControl/>
              <w:ind w:left="100" w:right="100"/>
              <w:rPr>
                <w:sz w:val="20"/>
                <w:szCs w:val="20"/>
                <w:lang w:val="en-GB"/>
              </w:rPr>
            </w:pPr>
            <w:r w:rsidRPr="00BD62E7">
              <w:rPr>
                <w:sz w:val="20"/>
                <w:szCs w:val="20"/>
                <w:lang w:val="en-GB"/>
              </w:rPr>
              <w:t>Genre: fiction or non-fiction</w:t>
            </w:r>
          </w:p>
        </w:tc>
      </w:tr>
      <w:tr w:rsidR="00083156" w14:paraId="525613EA" w14:textId="77777777">
        <w:trPr>
          <w:trHeight w:val="315"/>
        </w:trPr>
        <w:tc>
          <w:tcPr>
            <w:tcW w:w="1930" w:type="dxa"/>
            <w:vMerge/>
            <w:tcMar>
              <w:top w:w="0" w:type="dxa"/>
              <w:bottom w:w="0" w:type="dxa"/>
            </w:tcMar>
            <w:vAlign w:val="center"/>
          </w:tcPr>
          <w:p w14:paraId="209D76F9" w14:textId="77777777" w:rsidR="00083156" w:rsidRPr="00BD62E7" w:rsidRDefault="00083156">
            <w:pPr>
              <w:pBdr>
                <w:top w:val="nil"/>
                <w:left w:val="nil"/>
                <w:bottom w:val="nil"/>
                <w:right w:val="nil"/>
                <w:between w:val="nil"/>
              </w:pBdr>
              <w:spacing w:line="276" w:lineRule="auto"/>
              <w:rPr>
                <w:sz w:val="20"/>
                <w:szCs w:val="20"/>
                <w:lang w:val="en-GB"/>
              </w:rPr>
            </w:pPr>
          </w:p>
        </w:tc>
        <w:tc>
          <w:tcPr>
            <w:tcW w:w="5070" w:type="dxa"/>
            <w:tcMar>
              <w:top w:w="0" w:type="dxa"/>
              <w:bottom w:w="0" w:type="dxa"/>
            </w:tcMar>
            <w:vAlign w:val="center"/>
          </w:tcPr>
          <w:p w14:paraId="53E9FB2F" w14:textId="77777777" w:rsidR="00083156" w:rsidRDefault="00000000">
            <w:pPr>
              <w:widowControl/>
              <w:ind w:left="100" w:right="100"/>
              <w:rPr>
                <w:sz w:val="20"/>
                <w:szCs w:val="20"/>
              </w:rPr>
            </w:pPr>
            <w:proofErr w:type="spellStart"/>
            <w:r>
              <w:rPr>
                <w:sz w:val="20"/>
                <w:szCs w:val="20"/>
              </w:rPr>
              <w:t>Release</w:t>
            </w:r>
            <w:proofErr w:type="spellEnd"/>
            <w:r>
              <w:rPr>
                <w:sz w:val="20"/>
                <w:szCs w:val="20"/>
              </w:rPr>
              <w:t xml:space="preserve"> </w:t>
            </w:r>
            <w:proofErr w:type="spellStart"/>
            <w:r>
              <w:rPr>
                <w:sz w:val="20"/>
                <w:szCs w:val="20"/>
              </w:rPr>
              <w:t>year</w:t>
            </w:r>
            <w:proofErr w:type="spellEnd"/>
          </w:p>
        </w:tc>
      </w:tr>
      <w:tr w:rsidR="00083156" w:rsidRPr="00BD62E7" w14:paraId="13486F2C" w14:textId="77777777">
        <w:trPr>
          <w:trHeight w:val="315"/>
        </w:trPr>
        <w:tc>
          <w:tcPr>
            <w:tcW w:w="1930" w:type="dxa"/>
            <w:vMerge/>
            <w:tcMar>
              <w:top w:w="0" w:type="dxa"/>
              <w:bottom w:w="0" w:type="dxa"/>
            </w:tcMar>
            <w:vAlign w:val="center"/>
          </w:tcPr>
          <w:p w14:paraId="4B46C9AE" w14:textId="77777777" w:rsidR="00083156" w:rsidRDefault="00083156">
            <w:pPr>
              <w:pBdr>
                <w:top w:val="nil"/>
                <w:left w:val="nil"/>
                <w:bottom w:val="nil"/>
                <w:right w:val="nil"/>
                <w:between w:val="nil"/>
              </w:pBdr>
              <w:spacing w:line="276" w:lineRule="auto"/>
              <w:rPr>
                <w:sz w:val="20"/>
                <w:szCs w:val="20"/>
              </w:rPr>
            </w:pPr>
          </w:p>
        </w:tc>
        <w:tc>
          <w:tcPr>
            <w:tcW w:w="5070" w:type="dxa"/>
            <w:tcMar>
              <w:top w:w="0" w:type="dxa"/>
              <w:bottom w:w="0" w:type="dxa"/>
            </w:tcMar>
            <w:vAlign w:val="center"/>
          </w:tcPr>
          <w:p w14:paraId="75B3F199" w14:textId="77777777" w:rsidR="00083156" w:rsidRPr="00BD62E7" w:rsidRDefault="00000000">
            <w:pPr>
              <w:widowControl/>
              <w:ind w:left="100" w:right="100"/>
              <w:rPr>
                <w:sz w:val="20"/>
                <w:szCs w:val="20"/>
                <w:lang w:val="en-GB"/>
              </w:rPr>
            </w:pPr>
            <w:r w:rsidRPr="00BD62E7">
              <w:rPr>
                <w:sz w:val="20"/>
                <w:szCs w:val="20"/>
                <w:lang w:val="en-GB"/>
              </w:rPr>
              <w:t xml:space="preserve">Existence of the same case on other </w:t>
            </w:r>
            <w:proofErr w:type="spellStart"/>
            <w:r w:rsidRPr="00BD62E7">
              <w:rPr>
                <w:sz w:val="20"/>
                <w:szCs w:val="20"/>
                <w:lang w:val="en-GB"/>
              </w:rPr>
              <w:t>platfomrs</w:t>
            </w:r>
            <w:proofErr w:type="spellEnd"/>
          </w:p>
        </w:tc>
      </w:tr>
      <w:tr w:rsidR="00083156" w:rsidRPr="00BD62E7" w14:paraId="76FB1A18" w14:textId="77777777">
        <w:trPr>
          <w:trHeight w:val="315"/>
        </w:trPr>
        <w:tc>
          <w:tcPr>
            <w:tcW w:w="1930" w:type="dxa"/>
            <w:vMerge w:val="restart"/>
            <w:tcMar>
              <w:top w:w="0" w:type="dxa"/>
              <w:bottom w:w="0" w:type="dxa"/>
            </w:tcMar>
            <w:vAlign w:val="center"/>
          </w:tcPr>
          <w:p w14:paraId="5CDDB6BC" w14:textId="77777777" w:rsidR="00083156" w:rsidRDefault="00000000">
            <w:pPr>
              <w:widowControl/>
              <w:ind w:left="100" w:right="100"/>
              <w:jc w:val="center"/>
              <w:rPr>
                <w:b/>
                <w:bCs/>
                <w:sz w:val="20"/>
                <w:szCs w:val="20"/>
              </w:rPr>
            </w:pPr>
            <w:proofErr w:type="spellStart"/>
            <w:r>
              <w:rPr>
                <w:b/>
                <w:bCs/>
                <w:sz w:val="20"/>
                <w:szCs w:val="20"/>
              </w:rPr>
              <w:t>Narratve</w:t>
            </w:r>
            <w:proofErr w:type="spellEnd"/>
          </w:p>
        </w:tc>
        <w:tc>
          <w:tcPr>
            <w:tcW w:w="5070" w:type="dxa"/>
            <w:tcMar>
              <w:top w:w="0" w:type="dxa"/>
              <w:bottom w:w="0" w:type="dxa"/>
            </w:tcMar>
            <w:vAlign w:val="center"/>
          </w:tcPr>
          <w:p w14:paraId="40B83CA3" w14:textId="77777777" w:rsidR="00083156" w:rsidRPr="00BD62E7" w:rsidRDefault="00000000">
            <w:pPr>
              <w:widowControl/>
              <w:ind w:left="100" w:right="100"/>
              <w:rPr>
                <w:sz w:val="20"/>
                <w:szCs w:val="20"/>
                <w:lang w:val="en-GB"/>
              </w:rPr>
            </w:pPr>
            <w:r w:rsidRPr="00BD62E7">
              <w:rPr>
                <w:sz w:val="20"/>
                <w:szCs w:val="20"/>
                <w:lang w:val="en-GB"/>
              </w:rPr>
              <w:t>Protagonism: female, male or both</w:t>
            </w:r>
          </w:p>
        </w:tc>
      </w:tr>
      <w:tr w:rsidR="00083156" w:rsidRPr="00BD62E7" w14:paraId="6286FDEF" w14:textId="77777777">
        <w:trPr>
          <w:trHeight w:val="315"/>
        </w:trPr>
        <w:tc>
          <w:tcPr>
            <w:tcW w:w="1930" w:type="dxa"/>
            <w:vMerge/>
            <w:tcMar>
              <w:top w:w="0" w:type="dxa"/>
              <w:bottom w:w="0" w:type="dxa"/>
            </w:tcMar>
            <w:vAlign w:val="center"/>
          </w:tcPr>
          <w:p w14:paraId="1A25059B" w14:textId="77777777" w:rsidR="00083156" w:rsidRPr="00BD62E7" w:rsidRDefault="00083156">
            <w:pPr>
              <w:pBdr>
                <w:top w:val="nil"/>
                <w:left w:val="nil"/>
                <w:bottom w:val="nil"/>
                <w:right w:val="nil"/>
                <w:between w:val="nil"/>
              </w:pBdr>
              <w:spacing w:line="276" w:lineRule="auto"/>
              <w:rPr>
                <w:sz w:val="20"/>
                <w:szCs w:val="20"/>
                <w:lang w:val="en-GB"/>
              </w:rPr>
            </w:pPr>
          </w:p>
        </w:tc>
        <w:tc>
          <w:tcPr>
            <w:tcW w:w="5070" w:type="dxa"/>
            <w:tcMar>
              <w:top w:w="0" w:type="dxa"/>
              <w:bottom w:w="0" w:type="dxa"/>
            </w:tcMar>
            <w:vAlign w:val="center"/>
          </w:tcPr>
          <w:p w14:paraId="1954BA97" w14:textId="77777777" w:rsidR="00083156" w:rsidRPr="00BD62E7" w:rsidRDefault="00000000">
            <w:pPr>
              <w:widowControl/>
              <w:ind w:left="100" w:right="100"/>
              <w:rPr>
                <w:sz w:val="20"/>
                <w:szCs w:val="20"/>
                <w:lang w:val="en-GB"/>
              </w:rPr>
            </w:pPr>
            <w:r w:rsidRPr="00BD62E7">
              <w:rPr>
                <w:sz w:val="20"/>
                <w:szCs w:val="20"/>
                <w:lang w:val="en-GB"/>
              </w:rPr>
              <w:t xml:space="preserve">Role of the main </w:t>
            </w:r>
            <w:proofErr w:type="spellStart"/>
            <w:r w:rsidRPr="00BD62E7">
              <w:rPr>
                <w:sz w:val="20"/>
                <w:szCs w:val="20"/>
                <w:lang w:val="en-GB"/>
              </w:rPr>
              <w:t>charcter</w:t>
            </w:r>
            <w:proofErr w:type="spellEnd"/>
            <w:r w:rsidRPr="00BD62E7">
              <w:rPr>
                <w:sz w:val="20"/>
                <w:szCs w:val="20"/>
                <w:lang w:val="en-GB"/>
              </w:rPr>
              <w:t>: victim, perpetrator, suspect, falsely accused or other</w:t>
            </w:r>
          </w:p>
        </w:tc>
      </w:tr>
      <w:tr w:rsidR="00083156" w14:paraId="09B7D323" w14:textId="77777777">
        <w:trPr>
          <w:trHeight w:val="315"/>
        </w:trPr>
        <w:tc>
          <w:tcPr>
            <w:tcW w:w="1930" w:type="dxa"/>
            <w:vMerge/>
            <w:tcMar>
              <w:top w:w="0" w:type="dxa"/>
              <w:bottom w:w="0" w:type="dxa"/>
            </w:tcMar>
            <w:vAlign w:val="center"/>
          </w:tcPr>
          <w:p w14:paraId="6FC893CF" w14:textId="77777777" w:rsidR="00083156" w:rsidRPr="00BD62E7" w:rsidRDefault="00083156">
            <w:pPr>
              <w:pBdr>
                <w:top w:val="nil"/>
                <w:left w:val="nil"/>
                <w:bottom w:val="nil"/>
                <w:right w:val="nil"/>
                <w:between w:val="nil"/>
              </w:pBdr>
              <w:spacing w:line="276" w:lineRule="auto"/>
              <w:rPr>
                <w:sz w:val="20"/>
                <w:szCs w:val="20"/>
                <w:lang w:val="en-GB"/>
              </w:rPr>
            </w:pPr>
          </w:p>
        </w:tc>
        <w:tc>
          <w:tcPr>
            <w:tcW w:w="5070" w:type="dxa"/>
            <w:tcMar>
              <w:top w:w="0" w:type="dxa"/>
              <w:bottom w:w="0" w:type="dxa"/>
            </w:tcMar>
            <w:vAlign w:val="center"/>
          </w:tcPr>
          <w:p w14:paraId="7CDB722B" w14:textId="77777777" w:rsidR="00083156" w:rsidRDefault="00000000">
            <w:pPr>
              <w:widowControl/>
              <w:ind w:left="100" w:right="100"/>
              <w:rPr>
                <w:sz w:val="20"/>
                <w:szCs w:val="20"/>
              </w:rPr>
            </w:pPr>
            <w:proofErr w:type="spellStart"/>
            <w:r>
              <w:rPr>
                <w:sz w:val="20"/>
                <w:szCs w:val="20"/>
              </w:rPr>
              <w:t>Relationship</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victim</w:t>
            </w:r>
            <w:proofErr w:type="spellEnd"/>
          </w:p>
        </w:tc>
      </w:tr>
      <w:tr w:rsidR="00083156" w14:paraId="2D1C713E" w14:textId="77777777">
        <w:trPr>
          <w:trHeight w:val="315"/>
        </w:trPr>
        <w:tc>
          <w:tcPr>
            <w:tcW w:w="1930" w:type="dxa"/>
            <w:vMerge/>
            <w:tcMar>
              <w:top w:w="0" w:type="dxa"/>
              <w:bottom w:w="0" w:type="dxa"/>
            </w:tcMar>
            <w:vAlign w:val="center"/>
          </w:tcPr>
          <w:p w14:paraId="6C2B8E66" w14:textId="77777777" w:rsidR="00083156" w:rsidRDefault="00083156">
            <w:pPr>
              <w:pBdr>
                <w:top w:val="nil"/>
                <w:left w:val="nil"/>
                <w:bottom w:val="nil"/>
                <w:right w:val="nil"/>
                <w:between w:val="nil"/>
              </w:pBdr>
              <w:spacing w:line="276" w:lineRule="auto"/>
              <w:rPr>
                <w:sz w:val="20"/>
                <w:szCs w:val="20"/>
              </w:rPr>
            </w:pPr>
          </w:p>
        </w:tc>
        <w:tc>
          <w:tcPr>
            <w:tcW w:w="5070" w:type="dxa"/>
            <w:tcMar>
              <w:top w:w="0" w:type="dxa"/>
              <w:bottom w:w="0" w:type="dxa"/>
            </w:tcMar>
            <w:vAlign w:val="center"/>
          </w:tcPr>
          <w:p w14:paraId="5E02D118" w14:textId="77777777" w:rsidR="00083156" w:rsidRDefault="00000000">
            <w:pPr>
              <w:widowControl/>
              <w:ind w:left="100" w:right="100"/>
              <w:rPr>
                <w:sz w:val="20"/>
                <w:szCs w:val="20"/>
              </w:rPr>
            </w:pPr>
            <w:proofErr w:type="spellStart"/>
            <w:r>
              <w:rPr>
                <w:sz w:val="20"/>
                <w:szCs w:val="20"/>
              </w:rPr>
              <w:t>Type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crime</w:t>
            </w:r>
            <w:proofErr w:type="spellEnd"/>
          </w:p>
        </w:tc>
      </w:tr>
      <w:tr w:rsidR="00083156" w14:paraId="6399C13E" w14:textId="77777777">
        <w:trPr>
          <w:trHeight w:val="315"/>
        </w:trPr>
        <w:tc>
          <w:tcPr>
            <w:tcW w:w="1930" w:type="dxa"/>
            <w:vMerge/>
            <w:tcMar>
              <w:top w:w="0" w:type="dxa"/>
              <w:bottom w:w="0" w:type="dxa"/>
            </w:tcMar>
            <w:vAlign w:val="center"/>
          </w:tcPr>
          <w:p w14:paraId="3731241A" w14:textId="77777777" w:rsidR="00083156" w:rsidRDefault="00083156">
            <w:pPr>
              <w:pBdr>
                <w:top w:val="nil"/>
                <w:left w:val="nil"/>
                <w:bottom w:val="nil"/>
                <w:right w:val="nil"/>
                <w:between w:val="nil"/>
              </w:pBdr>
              <w:spacing w:line="276" w:lineRule="auto"/>
              <w:rPr>
                <w:sz w:val="20"/>
                <w:szCs w:val="20"/>
              </w:rPr>
            </w:pPr>
          </w:p>
        </w:tc>
        <w:tc>
          <w:tcPr>
            <w:tcW w:w="5070" w:type="dxa"/>
            <w:tcMar>
              <w:top w:w="0" w:type="dxa"/>
              <w:bottom w:w="0" w:type="dxa"/>
            </w:tcMar>
            <w:vAlign w:val="center"/>
          </w:tcPr>
          <w:p w14:paraId="7342C558" w14:textId="77777777" w:rsidR="00083156" w:rsidRDefault="00000000">
            <w:pPr>
              <w:widowControl/>
              <w:ind w:left="100" w:right="100"/>
              <w:rPr>
                <w:sz w:val="20"/>
                <w:szCs w:val="20"/>
              </w:rPr>
            </w:pPr>
            <w:proofErr w:type="spellStart"/>
            <w:r>
              <w:rPr>
                <w:sz w:val="20"/>
                <w:szCs w:val="20"/>
              </w:rPr>
              <w:t>Year</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event</w:t>
            </w:r>
            <w:proofErr w:type="spellEnd"/>
          </w:p>
        </w:tc>
      </w:tr>
      <w:tr w:rsidR="00083156" w:rsidRPr="00BD62E7" w14:paraId="31A8B1AA" w14:textId="77777777">
        <w:trPr>
          <w:trHeight w:val="315"/>
        </w:trPr>
        <w:tc>
          <w:tcPr>
            <w:tcW w:w="1930" w:type="dxa"/>
            <w:vMerge/>
            <w:tcMar>
              <w:top w:w="0" w:type="dxa"/>
              <w:bottom w:w="0" w:type="dxa"/>
            </w:tcMar>
            <w:vAlign w:val="center"/>
          </w:tcPr>
          <w:p w14:paraId="1C976688" w14:textId="77777777" w:rsidR="00083156" w:rsidRDefault="00083156">
            <w:pPr>
              <w:pBdr>
                <w:top w:val="nil"/>
                <w:left w:val="nil"/>
                <w:bottom w:val="nil"/>
                <w:right w:val="nil"/>
                <w:between w:val="nil"/>
              </w:pBdr>
              <w:spacing w:line="276" w:lineRule="auto"/>
              <w:rPr>
                <w:sz w:val="20"/>
                <w:szCs w:val="20"/>
              </w:rPr>
            </w:pPr>
          </w:p>
        </w:tc>
        <w:tc>
          <w:tcPr>
            <w:tcW w:w="5070" w:type="dxa"/>
            <w:tcMar>
              <w:top w:w="0" w:type="dxa"/>
              <w:bottom w:w="0" w:type="dxa"/>
            </w:tcMar>
            <w:vAlign w:val="center"/>
          </w:tcPr>
          <w:p w14:paraId="77451E4F" w14:textId="77777777" w:rsidR="00083156" w:rsidRPr="00BD62E7" w:rsidRDefault="00000000">
            <w:pPr>
              <w:widowControl/>
              <w:ind w:left="100" w:right="100"/>
              <w:rPr>
                <w:sz w:val="20"/>
                <w:szCs w:val="20"/>
                <w:lang w:val="en-GB"/>
              </w:rPr>
            </w:pPr>
            <w:r w:rsidRPr="00BD62E7">
              <w:rPr>
                <w:sz w:val="20"/>
                <w:szCs w:val="20"/>
                <w:lang w:val="en-GB"/>
              </w:rPr>
              <w:t>Gender and age of the victim</w:t>
            </w:r>
          </w:p>
        </w:tc>
      </w:tr>
      <w:tr w:rsidR="00083156" w:rsidRPr="00BD62E7" w14:paraId="2801CF97" w14:textId="77777777">
        <w:trPr>
          <w:trHeight w:val="315"/>
        </w:trPr>
        <w:tc>
          <w:tcPr>
            <w:tcW w:w="1930" w:type="dxa"/>
            <w:vMerge/>
            <w:tcMar>
              <w:top w:w="0" w:type="dxa"/>
              <w:bottom w:w="0" w:type="dxa"/>
            </w:tcMar>
            <w:vAlign w:val="center"/>
          </w:tcPr>
          <w:p w14:paraId="2FB48F11" w14:textId="77777777" w:rsidR="00083156" w:rsidRPr="00BD62E7" w:rsidRDefault="00083156">
            <w:pPr>
              <w:pBdr>
                <w:top w:val="nil"/>
                <w:left w:val="nil"/>
                <w:bottom w:val="nil"/>
                <w:right w:val="nil"/>
                <w:between w:val="nil"/>
              </w:pBdr>
              <w:spacing w:line="276" w:lineRule="auto"/>
              <w:rPr>
                <w:sz w:val="20"/>
                <w:szCs w:val="20"/>
                <w:lang w:val="en-GB"/>
              </w:rPr>
            </w:pPr>
          </w:p>
        </w:tc>
        <w:tc>
          <w:tcPr>
            <w:tcW w:w="5070" w:type="dxa"/>
            <w:tcMar>
              <w:top w:w="0" w:type="dxa"/>
              <w:bottom w:w="0" w:type="dxa"/>
            </w:tcMar>
            <w:vAlign w:val="center"/>
          </w:tcPr>
          <w:p w14:paraId="3CE13D84" w14:textId="77777777" w:rsidR="00083156" w:rsidRPr="00BD62E7" w:rsidRDefault="00000000">
            <w:pPr>
              <w:widowControl/>
              <w:ind w:left="100" w:right="100"/>
              <w:rPr>
                <w:sz w:val="20"/>
                <w:szCs w:val="20"/>
                <w:lang w:val="en-GB"/>
              </w:rPr>
            </w:pPr>
            <w:r w:rsidRPr="00BD62E7">
              <w:rPr>
                <w:sz w:val="20"/>
                <w:szCs w:val="20"/>
                <w:lang w:val="en-GB"/>
              </w:rPr>
              <w:t>Gender and age of the alleged perpetrator or suspect</w:t>
            </w:r>
          </w:p>
        </w:tc>
      </w:tr>
    </w:tbl>
    <w:p w14:paraId="68859724" w14:textId="77777777" w:rsidR="00083156" w:rsidRDefault="00000000">
      <w:pPr>
        <w:widowControl/>
        <w:pBdr>
          <w:top w:val="nil"/>
          <w:left w:val="nil"/>
          <w:bottom w:val="nil"/>
          <w:right w:val="nil"/>
          <w:between w:val="nil"/>
        </w:pBdr>
        <w:spacing w:before="200" w:after="80"/>
        <w:ind w:left="646" w:right="684"/>
        <w:jc w:val="center"/>
        <w:rPr>
          <w:sz w:val="12"/>
          <w:szCs w:val="12"/>
        </w:rPr>
      </w:pPr>
      <w:proofErr w:type="spellStart"/>
      <w:r>
        <w:rPr>
          <w:color w:val="231F20"/>
          <w:sz w:val="18"/>
          <w:szCs w:val="18"/>
        </w:rPr>
        <w:t>Source</w:t>
      </w:r>
      <w:proofErr w:type="spellEnd"/>
      <w:r>
        <w:rPr>
          <w:color w:val="231F20"/>
          <w:sz w:val="18"/>
          <w:szCs w:val="18"/>
        </w:rPr>
        <w:t xml:space="preserve">: </w:t>
      </w:r>
      <w:proofErr w:type="spellStart"/>
      <w:r>
        <w:rPr>
          <w:color w:val="231F20"/>
          <w:sz w:val="18"/>
          <w:szCs w:val="18"/>
        </w:rPr>
        <w:t>Autors</w:t>
      </w:r>
      <w:proofErr w:type="spellEnd"/>
    </w:p>
    <w:p w14:paraId="68041E43" w14:textId="77777777" w:rsidR="00083156" w:rsidRDefault="00083156">
      <w:pPr>
        <w:widowControl/>
        <w:pBdr>
          <w:top w:val="nil"/>
          <w:left w:val="nil"/>
          <w:bottom w:val="nil"/>
          <w:right w:val="nil"/>
          <w:between w:val="nil"/>
        </w:pBdr>
        <w:spacing w:after="80"/>
        <w:rPr>
          <w:sz w:val="12"/>
          <w:szCs w:val="12"/>
        </w:rPr>
      </w:pPr>
    </w:p>
    <w:p w14:paraId="0109D68C" w14:textId="77777777" w:rsidR="00083156" w:rsidRDefault="00000000">
      <w:pPr>
        <w:pStyle w:val="Ttulo1"/>
        <w:widowControl/>
        <w:numPr>
          <w:ilvl w:val="0"/>
          <w:numId w:val="2"/>
        </w:numPr>
        <w:spacing w:after="80"/>
        <w:rPr>
          <w:rFonts w:ascii="Garamond" w:eastAsia="Garamond" w:hAnsi="Garamond" w:cs="Garamond"/>
          <w:b/>
          <w:bCs/>
          <w:color w:val="98361E"/>
        </w:rPr>
      </w:pPr>
      <w:proofErr w:type="spellStart"/>
      <w:r>
        <w:rPr>
          <w:rFonts w:ascii="Garamond" w:eastAsia="Garamond" w:hAnsi="Garamond" w:cs="Garamond"/>
          <w:b/>
          <w:bCs/>
          <w:color w:val="98361E"/>
        </w:rPr>
        <w:t>Results</w:t>
      </w:r>
      <w:proofErr w:type="spellEnd"/>
    </w:p>
    <w:p w14:paraId="7178630B" w14:textId="77777777" w:rsidR="00083156" w:rsidRDefault="00000000">
      <w:pPr>
        <w:pStyle w:val="Ttulo1"/>
        <w:widowControl/>
        <w:spacing w:after="80"/>
        <w:ind w:left="426"/>
        <w:rPr>
          <w:rFonts w:ascii="Garamond" w:eastAsia="Garamond" w:hAnsi="Garamond" w:cs="Garamond"/>
          <w:i/>
          <w:iCs/>
          <w:color w:val="98361E"/>
        </w:rPr>
      </w:pPr>
      <w:r>
        <w:rPr>
          <w:rFonts w:ascii="Garamond" w:eastAsia="Garamond" w:hAnsi="Garamond" w:cs="Garamond"/>
          <w:i/>
          <w:iCs/>
          <w:color w:val="98361E"/>
        </w:rPr>
        <w:t xml:space="preserve">4.1. </w:t>
      </w:r>
      <w:proofErr w:type="spellStart"/>
      <w:r>
        <w:rPr>
          <w:rFonts w:ascii="Garamond" w:eastAsia="Garamond" w:hAnsi="Garamond" w:cs="Garamond"/>
          <w:i/>
          <w:iCs/>
          <w:color w:val="98361E"/>
        </w:rPr>
        <w:t>Production</w:t>
      </w:r>
      <w:proofErr w:type="spellEnd"/>
      <w:r>
        <w:rPr>
          <w:rFonts w:ascii="Garamond" w:eastAsia="Garamond" w:hAnsi="Garamond" w:cs="Garamond"/>
          <w:i/>
          <w:iCs/>
          <w:color w:val="98361E"/>
        </w:rPr>
        <w:t xml:space="preserve"> and </w:t>
      </w:r>
      <w:proofErr w:type="spellStart"/>
      <w:r>
        <w:rPr>
          <w:rFonts w:ascii="Garamond" w:eastAsia="Garamond" w:hAnsi="Garamond" w:cs="Garamond"/>
          <w:i/>
          <w:iCs/>
          <w:color w:val="98361E"/>
        </w:rPr>
        <w:t>distribution</w:t>
      </w:r>
      <w:proofErr w:type="spellEnd"/>
    </w:p>
    <w:p w14:paraId="327C80F4"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Between 2016 and 2025, there is a clear and sustained increase in the number of Spanish true crime audiovisual productions released on VOD platforms, totalling 35 titles. The earliest releases date back to 2016 and 2017, with just one production per year: the documentary miniseries Muerte </w:t>
      </w:r>
      <w:proofErr w:type="spellStart"/>
      <w:r w:rsidRPr="00BD62E7">
        <w:rPr>
          <w:color w:val="231F20"/>
          <w:sz w:val="20"/>
          <w:szCs w:val="20"/>
          <w:lang w:val="en-GB"/>
        </w:rPr>
        <w:t>en</w:t>
      </w:r>
      <w:proofErr w:type="spellEnd"/>
      <w:r w:rsidRPr="00BD62E7">
        <w:rPr>
          <w:color w:val="231F20"/>
          <w:sz w:val="20"/>
          <w:szCs w:val="20"/>
          <w:lang w:val="en-GB"/>
        </w:rPr>
        <w:t xml:space="preserve"> León (Movistar+, 2016) and El </w:t>
      </w:r>
      <w:proofErr w:type="spellStart"/>
      <w:r w:rsidRPr="00BD62E7">
        <w:rPr>
          <w:color w:val="231F20"/>
          <w:sz w:val="20"/>
          <w:szCs w:val="20"/>
          <w:lang w:val="en-GB"/>
        </w:rPr>
        <w:t>caso</w:t>
      </w:r>
      <w:proofErr w:type="spellEnd"/>
      <w:r w:rsidRPr="00BD62E7">
        <w:rPr>
          <w:color w:val="231F20"/>
          <w:sz w:val="20"/>
          <w:szCs w:val="20"/>
          <w:lang w:val="en-GB"/>
        </w:rPr>
        <w:t xml:space="preserve"> Asunta: </w:t>
      </w:r>
      <w:proofErr w:type="spellStart"/>
      <w:r w:rsidRPr="00BD62E7">
        <w:rPr>
          <w:color w:val="231F20"/>
          <w:sz w:val="20"/>
          <w:szCs w:val="20"/>
          <w:lang w:val="en-GB"/>
        </w:rPr>
        <w:t>Operación</w:t>
      </w:r>
      <w:proofErr w:type="spellEnd"/>
      <w:r w:rsidRPr="00BD62E7">
        <w:rPr>
          <w:color w:val="231F20"/>
          <w:sz w:val="20"/>
          <w:szCs w:val="20"/>
          <w:lang w:val="en-GB"/>
        </w:rPr>
        <w:t xml:space="preserve"> </w:t>
      </w:r>
      <w:proofErr w:type="spellStart"/>
      <w:r w:rsidRPr="00BD62E7">
        <w:rPr>
          <w:color w:val="231F20"/>
          <w:sz w:val="20"/>
          <w:szCs w:val="20"/>
          <w:lang w:val="en-GB"/>
        </w:rPr>
        <w:t>Nenúfar</w:t>
      </w:r>
      <w:proofErr w:type="spellEnd"/>
      <w:r w:rsidRPr="00BD62E7">
        <w:rPr>
          <w:color w:val="231F20"/>
          <w:sz w:val="20"/>
          <w:szCs w:val="20"/>
          <w:lang w:val="en-GB"/>
        </w:rPr>
        <w:t xml:space="preserve"> (Netflix, 2017). Although no releases were identified in 2018 or 2020, there was a rise in output in 2019, with three productions, including the documentary feature Muerte </w:t>
      </w:r>
      <w:proofErr w:type="spellStart"/>
      <w:r w:rsidRPr="00BD62E7">
        <w:rPr>
          <w:color w:val="231F20"/>
          <w:sz w:val="20"/>
          <w:szCs w:val="20"/>
          <w:lang w:val="en-GB"/>
        </w:rPr>
        <w:t>en</w:t>
      </w:r>
      <w:proofErr w:type="spellEnd"/>
      <w:r w:rsidRPr="00BD62E7">
        <w:rPr>
          <w:color w:val="231F20"/>
          <w:sz w:val="20"/>
          <w:szCs w:val="20"/>
          <w:lang w:val="en-GB"/>
        </w:rPr>
        <w:t xml:space="preserve"> León: Caso </w:t>
      </w:r>
      <w:proofErr w:type="spellStart"/>
      <w:r w:rsidRPr="00BD62E7">
        <w:rPr>
          <w:color w:val="231F20"/>
          <w:sz w:val="20"/>
          <w:szCs w:val="20"/>
          <w:lang w:val="en-GB"/>
        </w:rPr>
        <w:t>cerrado</w:t>
      </w:r>
      <w:proofErr w:type="spellEnd"/>
      <w:r w:rsidRPr="00BD62E7">
        <w:rPr>
          <w:color w:val="231F20"/>
          <w:sz w:val="20"/>
          <w:szCs w:val="20"/>
          <w:lang w:val="en-GB"/>
        </w:rPr>
        <w:t xml:space="preserve"> (HBO Max, 2019), which revisits the Isabel Carrasco case previously addressed by Movistar+.</w:t>
      </w:r>
    </w:p>
    <w:p w14:paraId="6D6BDB7E"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While the early years show sporadic releases prior to 2020, from that point onwards the number of premieres increases significantly. In 2021, five productions were released, a figure that doubled in 2023 with eight titles, and peaked in 2024 with ten releases — the highest number in the period analysed. In the first half of 2025 alone, four productions have already premiered, confirming the consolidation of true crime as an attractive content form for streaming platforms. This growth reflects not only the public’s increasing interest in the genre but also the strengthening of true crime as one of the narrative pillars within platforms’ strategies for original and locally rooted productions.</w:t>
      </w:r>
    </w:p>
    <w:p w14:paraId="5DD05C38"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Regarding production by platform, Netflix clearly emerges as the main driving force behind national true crime during the period analysed, with a total of 10 productions included in the corpus. It is followed by HBO Max with 6 titles, and Movistar+ and RTVE Play/</w:t>
      </w:r>
      <w:proofErr w:type="spellStart"/>
      <w:r w:rsidRPr="00BD62E7">
        <w:rPr>
          <w:color w:val="231F20"/>
          <w:sz w:val="20"/>
          <w:szCs w:val="20"/>
          <w:lang w:val="en-GB"/>
        </w:rPr>
        <w:t>Playz</w:t>
      </w:r>
      <w:proofErr w:type="spellEnd"/>
      <w:r w:rsidRPr="00BD62E7">
        <w:rPr>
          <w:color w:val="231F20"/>
          <w:sz w:val="20"/>
          <w:szCs w:val="20"/>
          <w:lang w:val="en-GB"/>
        </w:rPr>
        <w:t xml:space="preserve"> with 5 each. </w:t>
      </w:r>
      <w:proofErr w:type="spellStart"/>
      <w:r w:rsidRPr="00BD62E7">
        <w:rPr>
          <w:color w:val="231F20"/>
          <w:sz w:val="20"/>
          <w:szCs w:val="20"/>
          <w:lang w:val="en-GB"/>
        </w:rPr>
        <w:t>Atresplayer</w:t>
      </w:r>
      <w:proofErr w:type="spellEnd"/>
      <w:r w:rsidRPr="00BD62E7">
        <w:rPr>
          <w:color w:val="231F20"/>
          <w:sz w:val="20"/>
          <w:szCs w:val="20"/>
          <w:lang w:val="en-GB"/>
        </w:rPr>
        <w:t xml:space="preserve"> and Prime Video show more moderate participation, while Disney+ and </w:t>
      </w:r>
      <w:proofErr w:type="spellStart"/>
      <w:r w:rsidRPr="00BD62E7">
        <w:rPr>
          <w:color w:val="231F20"/>
          <w:sz w:val="20"/>
          <w:szCs w:val="20"/>
          <w:lang w:val="en-GB"/>
        </w:rPr>
        <w:t>SkyShowtime</w:t>
      </w:r>
      <w:proofErr w:type="spellEnd"/>
      <w:r w:rsidRPr="00BD62E7">
        <w:rPr>
          <w:color w:val="231F20"/>
          <w:sz w:val="20"/>
          <w:szCs w:val="20"/>
          <w:lang w:val="en-GB"/>
        </w:rPr>
        <w:t xml:space="preserve"> each contribute a single production. This distribution reflects a concentration of output among a small number of platforms, with </w:t>
      </w:r>
      <w:r w:rsidRPr="00BD62E7">
        <w:rPr>
          <w:color w:val="231F20"/>
          <w:sz w:val="20"/>
          <w:szCs w:val="20"/>
          <w:lang w:val="en-GB"/>
        </w:rPr>
        <w:lastRenderedPageBreak/>
        <w:t>Netflix setting the pace and narrative tone of the genre — a trend that may encourage other platforms to adopt similar strategies or even replicate its narrative and formal models.</w:t>
      </w:r>
    </w:p>
    <w:p w14:paraId="1D6EBC78" w14:textId="77777777" w:rsidR="00083156" w:rsidRPr="00BD62E7" w:rsidRDefault="00083156">
      <w:pPr>
        <w:widowControl/>
        <w:pBdr>
          <w:top w:val="nil"/>
          <w:left w:val="nil"/>
          <w:bottom w:val="nil"/>
          <w:right w:val="nil"/>
          <w:between w:val="nil"/>
        </w:pBdr>
        <w:spacing w:after="80"/>
        <w:ind w:left="426" w:right="370"/>
        <w:jc w:val="both"/>
        <w:rPr>
          <w:color w:val="231F20"/>
          <w:sz w:val="20"/>
          <w:szCs w:val="20"/>
          <w:lang w:val="en-GB"/>
        </w:rPr>
      </w:pPr>
    </w:p>
    <w:p w14:paraId="3C40FF31" w14:textId="77777777" w:rsidR="00083156" w:rsidRPr="00BD62E7" w:rsidRDefault="00000000">
      <w:pPr>
        <w:widowControl/>
        <w:pBdr>
          <w:top w:val="nil"/>
          <w:left w:val="nil"/>
          <w:bottom w:val="nil"/>
          <w:right w:val="nil"/>
          <w:between w:val="nil"/>
        </w:pBdr>
        <w:spacing w:after="80"/>
        <w:ind w:left="426" w:right="370"/>
        <w:jc w:val="center"/>
        <w:rPr>
          <w:rFonts w:ascii="Arial" w:eastAsia="Arial" w:hAnsi="Arial" w:cs="Arial"/>
          <w:lang w:val="en-GB"/>
        </w:rPr>
      </w:pPr>
      <w:r w:rsidRPr="00BD62E7">
        <w:rPr>
          <w:color w:val="231F20"/>
          <w:sz w:val="20"/>
          <w:szCs w:val="20"/>
          <w:lang w:val="en-GB"/>
        </w:rPr>
        <w:t>Table 2. Distribution of true crime productions by platform</w:t>
      </w:r>
    </w:p>
    <w:tbl>
      <w:tblPr>
        <w:tblStyle w:val="af3"/>
        <w:tblW w:w="6803" w:type="dxa"/>
        <w:tblInd w:w="4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443"/>
      </w:tblGrid>
      <w:tr w:rsidR="00083156" w14:paraId="44D36E1B" w14:textId="77777777">
        <w:tc>
          <w:tcPr>
            <w:tcW w:w="3360"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248ACC1A" w14:textId="77777777" w:rsidR="00083156" w:rsidRDefault="00000000">
            <w:pPr>
              <w:jc w:val="center"/>
              <w:rPr>
                <w:sz w:val="20"/>
                <w:szCs w:val="20"/>
              </w:rPr>
            </w:pPr>
            <w:proofErr w:type="spellStart"/>
            <w:r>
              <w:rPr>
                <w:b/>
                <w:bCs/>
                <w:sz w:val="20"/>
                <w:szCs w:val="20"/>
              </w:rPr>
              <w:t>Platform</w:t>
            </w:r>
            <w:proofErr w:type="spellEnd"/>
          </w:p>
        </w:tc>
        <w:tc>
          <w:tcPr>
            <w:tcW w:w="3443"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7BC4B7FD" w14:textId="3DE52E2B" w:rsidR="00083156" w:rsidRDefault="00BD62E7">
            <w:pPr>
              <w:jc w:val="center"/>
              <w:rPr>
                <w:sz w:val="20"/>
                <w:szCs w:val="20"/>
              </w:rPr>
            </w:pPr>
            <w:r>
              <w:rPr>
                <w:b/>
                <w:bCs/>
                <w:sz w:val="20"/>
                <w:szCs w:val="20"/>
              </w:rPr>
              <w:t>Number</w:t>
            </w:r>
            <w:r w:rsidR="00000000">
              <w:rPr>
                <w:b/>
                <w:bCs/>
                <w:sz w:val="20"/>
                <w:szCs w:val="20"/>
              </w:rPr>
              <w:t xml:space="preserve"> </w:t>
            </w:r>
            <w:proofErr w:type="spellStart"/>
            <w:r w:rsidR="00000000">
              <w:rPr>
                <w:b/>
                <w:bCs/>
                <w:sz w:val="20"/>
                <w:szCs w:val="20"/>
              </w:rPr>
              <w:t>of</w:t>
            </w:r>
            <w:proofErr w:type="spellEnd"/>
            <w:r w:rsidR="00000000">
              <w:rPr>
                <w:b/>
                <w:bCs/>
                <w:sz w:val="20"/>
                <w:szCs w:val="20"/>
              </w:rPr>
              <w:t xml:space="preserve"> </w:t>
            </w:r>
            <w:proofErr w:type="spellStart"/>
            <w:r w:rsidR="00000000">
              <w:rPr>
                <w:b/>
                <w:bCs/>
                <w:sz w:val="20"/>
                <w:szCs w:val="20"/>
              </w:rPr>
              <w:t>productions</w:t>
            </w:r>
            <w:proofErr w:type="spellEnd"/>
          </w:p>
        </w:tc>
      </w:tr>
      <w:tr w:rsidR="00083156" w14:paraId="023FDF8B" w14:textId="77777777">
        <w:tc>
          <w:tcPr>
            <w:tcW w:w="3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33CBC2" w14:textId="77777777" w:rsidR="00083156" w:rsidRDefault="00000000">
            <w:pPr>
              <w:jc w:val="center"/>
              <w:rPr>
                <w:sz w:val="20"/>
                <w:szCs w:val="20"/>
              </w:rPr>
            </w:pPr>
            <w:r>
              <w:rPr>
                <w:sz w:val="20"/>
                <w:szCs w:val="20"/>
              </w:rPr>
              <w:t>Netflix</w:t>
            </w:r>
          </w:p>
        </w:tc>
        <w:tc>
          <w:tcPr>
            <w:tcW w:w="34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1CDC65" w14:textId="77777777" w:rsidR="00083156" w:rsidRDefault="00000000">
            <w:pPr>
              <w:jc w:val="center"/>
              <w:rPr>
                <w:sz w:val="20"/>
                <w:szCs w:val="20"/>
              </w:rPr>
            </w:pPr>
            <w:r>
              <w:rPr>
                <w:sz w:val="20"/>
                <w:szCs w:val="20"/>
              </w:rPr>
              <w:t>10</w:t>
            </w:r>
          </w:p>
        </w:tc>
      </w:tr>
      <w:tr w:rsidR="00083156" w14:paraId="4B6984ED" w14:textId="77777777">
        <w:tc>
          <w:tcPr>
            <w:tcW w:w="3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6F8A98" w14:textId="77777777" w:rsidR="00083156" w:rsidRDefault="00000000">
            <w:pPr>
              <w:jc w:val="center"/>
              <w:rPr>
                <w:sz w:val="20"/>
                <w:szCs w:val="20"/>
              </w:rPr>
            </w:pPr>
            <w:r>
              <w:rPr>
                <w:sz w:val="20"/>
                <w:szCs w:val="20"/>
              </w:rPr>
              <w:t>HBO Max</w:t>
            </w:r>
          </w:p>
        </w:tc>
        <w:tc>
          <w:tcPr>
            <w:tcW w:w="34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24E4C7" w14:textId="77777777" w:rsidR="00083156" w:rsidRDefault="00000000">
            <w:pPr>
              <w:jc w:val="center"/>
              <w:rPr>
                <w:sz w:val="20"/>
                <w:szCs w:val="20"/>
              </w:rPr>
            </w:pPr>
            <w:r>
              <w:rPr>
                <w:sz w:val="20"/>
                <w:szCs w:val="20"/>
              </w:rPr>
              <w:t>6</w:t>
            </w:r>
          </w:p>
        </w:tc>
      </w:tr>
      <w:tr w:rsidR="00083156" w14:paraId="4271593E" w14:textId="77777777">
        <w:tc>
          <w:tcPr>
            <w:tcW w:w="3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1D61C0" w14:textId="77777777" w:rsidR="00083156" w:rsidRDefault="00000000">
            <w:pPr>
              <w:jc w:val="center"/>
              <w:rPr>
                <w:sz w:val="20"/>
                <w:szCs w:val="20"/>
              </w:rPr>
            </w:pPr>
            <w:r>
              <w:rPr>
                <w:sz w:val="20"/>
                <w:szCs w:val="20"/>
              </w:rPr>
              <w:t>Movistar+</w:t>
            </w:r>
          </w:p>
        </w:tc>
        <w:tc>
          <w:tcPr>
            <w:tcW w:w="34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3BBA92" w14:textId="77777777" w:rsidR="00083156" w:rsidRDefault="00000000">
            <w:pPr>
              <w:jc w:val="center"/>
              <w:rPr>
                <w:sz w:val="20"/>
                <w:szCs w:val="20"/>
              </w:rPr>
            </w:pPr>
            <w:r>
              <w:rPr>
                <w:sz w:val="20"/>
                <w:szCs w:val="20"/>
              </w:rPr>
              <w:t>5</w:t>
            </w:r>
          </w:p>
        </w:tc>
      </w:tr>
      <w:tr w:rsidR="00083156" w14:paraId="30163574" w14:textId="77777777">
        <w:tc>
          <w:tcPr>
            <w:tcW w:w="3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797013" w14:textId="77777777" w:rsidR="00083156" w:rsidRDefault="00000000">
            <w:pPr>
              <w:jc w:val="center"/>
              <w:rPr>
                <w:sz w:val="20"/>
                <w:szCs w:val="20"/>
              </w:rPr>
            </w:pPr>
            <w:r>
              <w:rPr>
                <w:sz w:val="20"/>
                <w:szCs w:val="20"/>
              </w:rPr>
              <w:t>RTVE Play/</w:t>
            </w:r>
            <w:proofErr w:type="spellStart"/>
            <w:r>
              <w:rPr>
                <w:sz w:val="20"/>
                <w:szCs w:val="20"/>
              </w:rPr>
              <w:t>Playz</w:t>
            </w:r>
            <w:proofErr w:type="spellEnd"/>
          </w:p>
        </w:tc>
        <w:tc>
          <w:tcPr>
            <w:tcW w:w="34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CD467D" w14:textId="77777777" w:rsidR="00083156" w:rsidRDefault="00000000">
            <w:pPr>
              <w:jc w:val="center"/>
              <w:rPr>
                <w:sz w:val="20"/>
                <w:szCs w:val="20"/>
              </w:rPr>
            </w:pPr>
            <w:r>
              <w:rPr>
                <w:sz w:val="20"/>
                <w:szCs w:val="20"/>
              </w:rPr>
              <w:t>5</w:t>
            </w:r>
          </w:p>
        </w:tc>
      </w:tr>
      <w:tr w:rsidR="00083156" w14:paraId="36E59D98" w14:textId="77777777">
        <w:tc>
          <w:tcPr>
            <w:tcW w:w="3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0D6959" w14:textId="77777777" w:rsidR="00083156" w:rsidRDefault="00000000">
            <w:pPr>
              <w:jc w:val="center"/>
              <w:rPr>
                <w:sz w:val="20"/>
                <w:szCs w:val="20"/>
              </w:rPr>
            </w:pPr>
            <w:proofErr w:type="spellStart"/>
            <w:r>
              <w:rPr>
                <w:sz w:val="20"/>
                <w:szCs w:val="20"/>
              </w:rPr>
              <w:t>Atresplayer</w:t>
            </w:r>
            <w:proofErr w:type="spellEnd"/>
          </w:p>
        </w:tc>
        <w:tc>
          <w:tcPr>
            <w:tcW w:w="34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8F5CBE" w14:textId="77777777" w:rsidR="00083156" w:rsidRDefault="00000000">
            <w:pPr>
              <w:jc w:val="center"/>
              <w:rPr>
                <w:sz w:val="20"/>
                <w:szCs w:val="20"/>
              </w:rPr>
            </w:pPr>
            <w:r>
              <w:rPr>
                <w:sz w:val="20"/>
                <w:szCs w:val="20"/>
              </w:rPr>
              <w:t>3</w:t>
            </w:r>
          </w:p>
        </w:tc>
      </w:tr>
      <w:tr w:rsidR="00083156" w14:paraId="599283E3" w14:textId="77777777">
        <w:tc>
          <w:tcPr>
            <w:tcW w:w="3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DBAF61" w14:textId="77777777" w:rsidR="00083156" w:rsidRDefault="00000000">
            <w:pPr>
              <w:jc w:val="center"/>
              <w:rPr>
                <w:sz w:val="20"/>
                <w:szCs w:val="20"/>
              </w:rPr>
            </w:pPr>
            <w:r>
              <w:rPr>
                <w:sz w:val="20"/>
                <w:szCs w:val="20"/>
              </w:rPr>
              <w:t>Prime Video</w:t>
            </w:r>
          </w:p>
        </w:tc>
        <w:tc>
          <w:tcPr>
            <w:tcW w:w="34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E3E9F1" w14:textId="77777777" w:rsidR="00083156" w:rsidRDefault="00000000">
            <w:pPr>
              <w:jc w:val="center"/>
              <w:rPr>
                <w:sz w:val="20"/>
                <w:szCs w:val="20"/>
              </w:rPr>
            </w:pPr>
            <w:r>
              <w:rPr>
                <w:sz w:val="20"/>
                <w:szCs w:val="20"/>
              </w:rPr>
              <w:t>2</w:t>
            </w:r>
          </w:p>
        </w:tc>
      </w:tr>
      <w:tr w:rsidR="00083156" w14:paraId="0029F741" w14:textId="77777777">
        <w:tc>
          <w:tcPr>
            <w:tcW w:w="3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DA844A" w14:textId="77777777" w:rsidR="00083156" w:rsidRDefault="00000000">
            <w:pPr>
              <w:jc w:val="center"/>
              <w:rPr>
                <w:sz w:val="20"/>
                <w:szCs w:val="20"/>
              </w:rPr>
            </w:pPr>
            <w:r>
              <w:rPr>
                <w:sz w:val="20"/>
                <w:szCs w:val="20"/>
              </w:rPr>
              <w:t>Disney+</w:t>
            </w:r>
          </w:p>
        </w:tc>
        <w:tc>
          <w:tcPr>
            <w:tcW w:w="34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11E925" w14:textId="77777777" w:rsidR="00083156" w:rsidRDefault="00000000">
            <w:pPr>
              <w:jc w:val="center"/>
              <w:rPr>
                <w:sz w:val="20"/>
                <w:szCs w:val="20"/>
              </w:rPr>
            </w:pPr>
            <w:r>
              <w:rPr>
                <w:sz w:val="20"/>
                <w:szCs w:val="20"/>
              </w:rPr>
              <w:t>1</w:t>
            </w:r>
          </w:p>
        </w:tc>
      </w:tr>
      <w:tr w:rsidR="00083156" w14:paraId="42A829E4" w14:textId="77777777">
        <w:tc>
          <w:tcPr>
            <w:tcW w:w="33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FF1EAD" w14:textId="77777777" w:rsidR="00083156" w:rsidRDefault="00000000">
            <w:pPr>
              <w:jc w:val="center"/>
              <w:rPr>
                <w:sz w:val="20"/>
                <w:szCs w:val="20"/>
              </w:rPr>
            </w:pPr>
            <w:proofErr w:type="spellStart"/>
            <w:r>
              <w:rPr>
                <w:sz w:val="20"/>
                <w:szCs w:val="20"/>
              </w:rPr>
              <w:t>SkyShowtime</w:t>
            </w:r>
            <w:proofErr w:type="spellEnd"/>
          </w:p>
        </w:tc>
        <w:tc>
          <w:tcPr>
            <w:tcW w:w="34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48B72E" w14:textId="77777777" w:rsidR="00083156" w:rsidRDefault="00000000">
            <w:pPr>
              <w:jc w:val="center"/>
              <w:rPr>
                <w:sz w:val="20"/>
                <w:szCs w:val="20"/>
              </w:rPr>
            </w:pPr>
            <w:r>
              <w:rPr>
                <w:sz w:val="20"/>
                <w:szCs w:val="20"/>
              </w:rPr>
              <w:t>1</w:t>
            </w:r>
          </w:p>
        </w:tc>
      </w:tr>
    </w:tbl>
    <w:p w14:paraId="485BE2EC" w14:textId="77777777" w:rsidR="00083156" w:rsidRDefault="00000000">
      <w:pPr>
        <w:widowControl/>
        <w:pBdr>
          <w:top w:val="nil"/>
          <w:left w:val="nil"/>
          <w:bottom w:val="nil"/>
          <w:right w:val="nil"/>
          <w:between w:val="nil"/>
        </w:pBdr>
        <w:spacing w:after="80"/>
        <w:ind w:left="647" w:right="684"/>
        <w:jc w:val="center"/>
        <w:rPr>
          <w:color w:val="231F20"/>
          <w:sz w:val="20"/>
          <w:szCs w:val="20"/>
        </w:rPr>
      </w:pPr>
      <w:proofErr w:type="spellStart"/>
      <w:r>
        <w:rPr>
          <w:color w:val="231F20"/>
          <w:sz w:val="20"/>
          <w:szCs w:val="20"/>
        </w:rPr>
        <w:t>Source</w:t>
      </w:r>
      <w:proofErr w:type="spellEnd"/>
      <w:r>
        <w:rPr>
          <w:color w:val="231F20"/>
          <w:sz w:val="20"/>
          <w:szCs w:val="20"/>
        </w:rPr>
        <w:t xml:space="preserve">: </w:t>
      </w:r>
      <w:proofErr w:type="spellStart"/>
      <w:r>
        <w:rPr>
          <w:color w:val="231F20"/>
          <w:sz w:val="20"/>
          <w:szCs w:val="20"/>
        </w:rPr>
        <w:t>Authors</w:t>
      </w:r>
      <w:proofErr w:type="spellEnd"/>
    </w:p>
    <w:p w14:paraId="081D6270" w14:textId="77777777" w:rsidR="00083156" w:rsidRDefault="00083156">
      <w:pPr>
        <w:widowControl/>
        <w:pBdr>
          <w:top w:val="nil"/>
          <w:left w:val="nil"/>
          <w:bottom w:val="nil"/>
          <w:right w:val="nil"/>
          <w:between w:val="nil"/>
        </w:pBdr>
        <w:spacing w:after="80"/>
        <w:ind w:left="426" w:right="370"/>
        <w:jc w:val="both"/>
        <w:rPr>
          <w:color w:val="231F20"/>
          <w:sz w:val="20"/>
          <w:szCs w:val="20"/>
        </w:rPr>
      </w:pPr>
    </w:p>
    <w:p w14:paraId="6A5608F9" w14:textId="0CF8014B"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The most frequent format is the documentary miniseries, with 19 titles, which represents more than half of the corpus. This is followed by documentary series (6) and documentary films (5). This distribution highlights a clear preference for the episodic non</w:t>
      </w:r>
      <w:r w:rsidRPr="00BD62E7">
        <w:rPr>
          <w:rFonts w:ascii="Cambria Math" w:eastAsia="Cambria Math" w:hAnsi="Cambria Math" w:cs="Cambria Math"/>
          <w:color w:val="231F20"/>
          <w:sz w:val="20"/>
          <w:szCs w:val="20"/>
          <w:lang w:val="en-GB"/>
        </w:rPr>
        <w:t>‑</w:t>
      </w:r>
      <w:r w:rsidRPr="00BD62E7">
        <w:rPr>
          <w:color w:val="231F20"/>
          <w:sz w:val="20"/>
          <w:szCs w:val="20"/>
          <w:lang w:val="en-GB"/>
        </w:rPr>
        <w:t>fiction format, particularly the limited</w:t>
      </w:r>
      <w:r w:rsidRPr="00BD62E7">
        <w:rPr>
          <w:rFonts w:ascii="Cambria Math" w:eastAsia="Cambria Math" w:hAnsi="Cambria Math" w:cs="Cambria Math"/>
          <w:color w:val="231F20"/>
          <w:sz w:val="20"/>
          <w:szCs w:val="20"/>
          <w:lang w:val="en-GB"/>
        </w:rPr>
        <w:t>‑</w:t>
      </w:r>
      <w:r w:rsidRPr="00BD62E7">
        <w:rPr>
          <w:color w:val="231F20"/>
          <w:sz w:val="20"/>
          <w:szCs w:val="20"/>
          <w:lang w:val="en-GB"/>
        </w:rPr>
        <w:t xml:space="preserve">run format, which makes it possible to develop the case in depth without excessive extension. Likewise, 4 cases of scripted miniseries are identified and, on one single occasion, a scripted film. Although fiction represents a minority proportion within Spanish true crime, it is relevant to note that some of the titles produced in this format have achieved notable international success. Such is the case of </w:t>
      </w:r>
      <w:r w:rsidRPr="00BD62E7">
        <w:rPr>
          <w:i/>
          <w:iCs/>
          <w:color w:val="231F20"/>
          <w:sz w:val="20"/>
          <w:szCs w:val="20"/>
          <w:lang w:val="en-GB"/>
        </w:rPr>
        <w:t xml:space="preserve">El </w:t>
      </w:r>
      <w:proofErr w:type="spellStart"/>
      <w:r w:rsidRPr="00BD62E7">
        <w:rPr>
          <w:i/>
          <w:iCs/>
          <w:color w:val="231F20"/>
          <w:sz w:val="20"/>
          <w:szCs w:val="20"/>
          <w:lang w:val="en-GB"/>
        </w:rPr>
        <w:t>caso</w:t>
      </w:r>
      <w:proofErr w:type="spellEnd"/>
      <w:r w:rsidRPr="00BD62E7">
        <w:rPr>
          <w:i/>
          <w:iCs/>
          <w:color w:val="231F20"/>
          <w:sz w:val="20"/>
          <w:szCs w:val="20"/>
          <w:lang w:val="en-GB"/>
        </w:rPr>
        <w:t xml:space="preserve"> Asunta</w:t>
      </w:r>
      <w:r w:rsidRPr="00BD62E7">
        <w:rPr>
          <w:color w:val="231F20"/>
          <w:sz w:val="20"/>
          <w:szCs w:val="20"/>
          <w:lang w:val="en-GB"/>
        </w:rPr>
        <w:t xml:space="preserve"> (Netflix, 2024), which ranked in Netflix’s top 10 in 64 countries and became the platform’s most</w:t>
      </w:r>
      <w:r w:rsidRPr="00BD62E7">
        <w:rPr>
          <w:rFonts w:ascii="Cambria Math" w:eastAsia="Cambria Math" w:hAnsi="Cambria Math" w:cs="Cambria Math"/>
          <w:color w:val="231F20"/>
          <w:sz w:val="20"/>
          <w:szCs w:val="20"/>
          <w:lang w:val="en-GB"/>
        </w:rPr>
        <w:t>‑</w:t>
      </w:r>
      <w:r w:rsidRPr="00BD62E7">
        <w:rPr>
          <w:color w:val="231F20"/>
          <w:sz w:val="20"/>
          <w:szCs w:val="20"/>
          <w:lang w:val="en-GB"/>
        </w:rPr>
        <w:t>watched non</w:t>
      </w:r>
      <w:r w:rsidRPr="00BD62E7">
        <w:rPr>
          <w:rFonts w:ascii="Cambria Math" w:eastAsia="Cambria Math" w:hAnsi="Cambria Math" w:cs="Cambria Math"/>
          <w:color w:val="231F20"/>
          <w:sz w:val="20"/>
          <w:szCs w:val="20"/>
          <w:lang w:val="en-GB"/>
        </w:rPr>
        <w:t>‑</w:t>
      </w:r>
      <w:r w:rsidRPr="00BD62E7">
        <w:rPr>
          <w:color w:val="231F20"/>
          <w:sz w:val="20"/>
          <w:szCs w:val="20"/>
          <w:lang w:val="en-GB"/>
        </w:rPr>
        <w:t>English</w:t>
      </w:r>
      <w:r w:rsidRPr="00BD62E7">
        <w:rPr>
          <w:rFonts w:ascii="Cambria Math" w:eastAsia="Cambria Math" w:hAnsi="Cambria Math" w:cs="Cambria Math"/>
          <w:color w:val="231F20"/>
          <w:sz w:val="20"/>
          <w:szCs w:val="20"/>
          <w:lang w:val="en-GB"/>
        </w:rPr>
        <w:t>‑</w:t>
      </w:r>
      <w:r w:rsidRPr="00BD62E7">
        <w:rPr>
          <w:color w:val="231F20"/>
          <w:sz w:val="20"/>
          <w:szCs w:val="20"/>
          <w:lang w:val="en-GB"/>
        </w:rPr>
        <w:t xml:space="preserve">language series during its premiere week, or </w:t>
      </w:r>
      <w:r w:rsidRPr="00BD62E7">
        <w:rPr>
          <w:i/>
          <w:iCs/>
          <w:color w:val="231F20"/>
          <w:sz w:val="20"/>
          <w:szCs w:val="20"/>
          <w:lang w:val="en-GB"/>
        </w:rPr>
        <w:t xml:space="preserve">El </w:t>
      </w:r>
      <w:proofErr w:type="spellStart"/>
      <w:r w:rsidRPr="00BD62E7">
        <w:rPr>
          <w:i/>
          <w:iCs/>
          <w:color w:val="231F20"/>
          <w:sz w:val="20"/>
          <w:szCs w:val="20"/>
          <w:lang w:val="en-GB"/>
        </w:rPr>
        <w:t>cuerpo</w:t>
      </w:r>
      <w:proofErr w:type="spellEnd"/>
      <w:r w:rsidRPr="00BD62E7">
        <w:rPr>
          <w:i/>
          <w:iCs/>
          <w:color w:val="231F20"/>
          <w:sz w:val="20"/>
          <w:szCs w:val="20"/>
          <w:lang w:val="en-GB"/>
        </w:rPr>
        <w:t xml:space="preserve"> </w:t>
      </w:r>
      <w:proofErr w:type="spellStart"/>
      <w:r w:rsidRPr="00BD62E7">
        <w:rPr>
          <w:i/>
          <w:iCs/>
          <w:color w:val="231F20"/>
          <w:sz w:val="20"/>
          <w:szCs w:val="20"/>
          <w:lang w:val="en-GB"/>
        </w:rPr>
        <w:t>en</w:t>
      </w:r>
      <w:proofErr w:type="spellEnd"/>
      <w:r w:rsidRPr="00BD62E7">
        <w:rPr>
          <w:i/>
          <w:iCs/>
          <w:color w:val="231F20"/>
          <w:sz w:val="20"/>
          <w:szCs w:val="20"/>
          <w:lang w:val="en-GB"/>
        </w:rPr>
        <w:t xml:space="preserve"> llamas</w:t>
      </w:r>
      <w:r w:rsidRPr="00BD62E7">
        <w:rPr>
          <w:color w:val="231F20"/>
          <w:sz w:val="20"/>
          <w:szCs w:val="20"/>
          <w:lang w:val="en-GB"/>
        </w:rPr>
        <w:t xml:space="preserve"> (Netflix, 2023), which reached second place globally in the non</w:t>
      </w:r>
      <w:r w:rsidRPr="00BD62E7">
        <w:rPr>
          <w:rFonts w:ascii="Cambria Math" w:eastAsia="Cambria Math" w:hAnsi="Cambria Math" w:cs="Cambria Math"/>
          <w:color w:val="231F20"/>
          <w:sz w:val="20"/>
          <w:szCs w:val="20"/>
          <w:lang w:val="en-GB"/>
        </w:rPr>
        <w:t>‑</w:t>
      </w:r>
      <w:r w:rsidRPr="00BD62E7">
        <w:rPr>
          <w:color w:val="231F20"/>
          <w:sz w:val="20"/>
          <w:szCs w:val="20"/>
          <w:lang w:val="en-GB"/>
        </w:rPr>
        <w:t>English</w:t>
      </w:r>
      <w:r w:rsidRPr="00BD62E7">
        <w:rPr>
          <w:rFonts w:ascii="Cambria Math" w:eastAsia="Cambria Math" w:hAnsi="Cambria Math" w:cs="Cambria Math"/>
          <w:color w:val="231F20"/>
          <w:sz w:val="20"/>
          <w:szCs w:val="20"/>
          <w:lang w:val="en-GB"/>
        </w:rPr>
        <w:t>‑</w:t>
      </w:r>
      <w:r w:rsidRPr="00BD62E7">
        <w:rPr>
          <w:color w:val="231F20"/>
          <w:sz w:val="20"/>
          <w:szCs w:val="20"/>
          <w:lang w:val="en-GB"/>
        </w:rPr>
        <w:t>language series category.</w:t>
      </w:r>
    </w:p>
    <w:p w14:paraId="01A331B2" w14:textId="77777777" w:rsidR="00083156" w:rsidRPr="00BD62E7" w:rsidRDefault="00083156">
      <w:pPr>
        <w:widowControl/>
        <w:pBdr>
          <w:top w:val="nil"/>
          <w:left w:val="nil"/>
          <w:bottom w:val="nil"/>
          <w:right w:val="nil"/>
          <w:between w:val="nil"/>
        </w:pBdr>
        <w:spacing w:after="80"/>
        <w:ind w:left="426" w:right="370"/>
        <w:jc w:val="both"/>
        <w:rPr>
          <w:color w:val="231F20"/>
          <w:sz w:val="20"/>
          <w:szCs w:val="20"/>
          <w:lang w:val="en-GB"/>
        </w:rPr>
      </w:pPr>
    </w:p>
    <w:p w14:paraId="235356BD" w14:textId="552111F8" w:rsidR="00083156" w:rsidRPr="00BD62E7" w:rsidRDefault="00000000" w:rsidP="00BD62E7">
      <w:pPr>
        <w:widowControl/>
        <w:pBdr>
          <w:top w:val="nil"/>
          <w:left w:val="nil"/>
          <w:bottom w:val="nil"/>
          <w:right w:val="nil"/>
          <w:between w:val="nil"/>
        </w:pBdr>
        <w:spacing w:after="80"/>
        <w:ind w:left="426" w:right="370"/>
        <w:jc w:val="center"/>
        <w:rPr>
          <w:color w:val="231F20"/>
          <w:sz w:val="20"/>
          <w:szCs w:val="20"/>
          <w:lang w:val="en-GB"/>
        </w:rPr>
      </w:pPr>
      <w:r w:rsidRPr="00BD62E7">
        <w:rPr>
          <w:color w:val="231F20"/>
          <w:sz w:val="20"/>
          <w:szCs w:val="20"/>
          <w:lang w:val="en-GB"/>
        </w:rPr>
        <w:lastRenderedPageBreak/>
        <w:t>Figure 1. Predominant formats in true crime productions (2016–2025)</w:t>
      </w:r>
      <w:r w:rsidR="00BD62E7" w:rsidRPr="00BD62E7">
        <w:rPr>
          <w:noProof/>
          <w:color w:val="231F20"/>
          <w:sz w:val="20"/>
          <w:szCs w:val="20"/>
          <w:lang w:val="en-GB"/>
        </w:rPr>
        <w:t xml:space="preserve"> </w:t>
      </w:r>
      <w:r w:rsidR="00BD62E7">
        <w:rPr>
          <w:noProof/>
          <w:color w:val="231F20"/>
          <w:sz w:val="20"/>
          <w:szCs w:val="20"/>
          <w:lang w:val="en-GB"/>
        </w:rPr>
        <w:drawing>
          <wp:inline distT="0" distB="0" distL="0" distR="0" wp14:anchorId="330C2EB6" wp14:editId="758C55FF">
            <wp:extent cx="4507824" cy="2028092"/>
            <wp:effectExtent l="0" t="0" r="7620" b="0"/>
            <wp:docPr id="21322397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5083" cy="2031358"/>
                    </a:xfrm>
                    <a:prstGeom prst="rect">
                      <a:avLst/>
                    </a:prstGeom>
                    <a:noFill/>
                    <a:ln>
                      <a:noFill/>
                    </a:ln>
                  </pic:spPr>
                </pic:pic>
              </a:graphicData>
            </a:graphic>
          </wp:inline>
        </w:drawing>
      </w:r>
    </w:p>
    <w:p w14:paraId="4F334795" w14:textId="77777777" w:rsidR="00083156" w:rsidRPr="00BD62E7" w:rsidRDefault="00000000">
      <w:pPr>
        <w:widowControl/>
        <w:pBdr>
          <w:top w:val="nil"/>
          <w:left w:val="nil"/>
          <w:bottom w:val="nil"/>
          <w:right w:val="nil"/>
          <w:between w:val="nil"/>
        </w:pBdr>
        <w:spacing w:after="80"/>
        <w:ind w:left="647" w:right="684"/>
        <w:jc w:val="center"/>
        <w:rPr>
          <w:color w:val="231F20"/>
          <w:sz w:val="20"/>
          <w:szCs w:val="20"/>
          <w:lang w:val="en-GB"/>
        </w:rPr>
      </w:pPr>
      <w:r w:rsidRPr="00BD62E7">
        <w:rPr>
          <w:color w:val="231F20"/>
          <w:sz w:val="20"/>
          <w:szCs w:val="20"/>
          <w:lang w:val="en-GB"/>
        </w:rPr>
        <w:t>Source: Authors</w:t>
      </w:r>
    </w:p>
    <w:p w14:paraId="3426EA53" w14:textId="77777777" w:rsidR="00083156" w:rsidRPr="00BD62E7" w:rsidRDefault="00083156">
      <w:pPr>
        <w:pStyle w:val="Ttulo1"/>
        <w:widowControl/>
        <w:spacing w:after="80"/>
        <w:ind w:left="0"/>
        <w:rPr>
          <w:rFonts w:ascii="Garamond" w:eastAsia="Garamond" w:hAnsi="Garamond" w:cs="Garamond"/>
          <w:sz w:val="20"/>
          <w:szCs w:val="20"/>
          <w:lang w:val="en-GB"/>
        </w:rPr>
      </w:pPr>
    </w:p>
    <w:p w14:paraId="53F851AF" w14:textId="77777777" w:rsidR="00083156" w:rsidRPr="00BD62E7" w:rsidRDefault="00000000">
      <w:pPr>
        <w:pStyle w:val="Ttulo1"/>
        <w:widowControl/>
        <w:spacing w:after="80"/>
        <w:ind w:left="426"/>
        <w:rPr>
          <w:rFonts w:ascii="Garamond" w:eastAsia="Garamond" w:hAnsi="Garamond" w:cs="Garamond"/>
          <w:i/>
          <w:iCs/>
          <w:color w:val="98361E"/>
          <w:lang w:val="en-GB"/>
        </w:rPr>
      </w:pPr>
      <w:r w:rsidRPr="00BD62E7">
        <w:rPr>
          <w:rFonts w:ascii="Garamond" w:eastAsia="Garamond" w:hAnsi="Garamond" w:cs="Garamond"/>
          <w:i/>
          <w:iCs/>
          <w:color w:val="98361E"/>
          <w:lang w:val="en-GB"/>
        </w:rPr>
        <w:t>4.2.</w:t>
      </w:r>
      <w:r w:rsidRPr="00BD62E7">
        <w:rPr>
          <w:rFonts w:ascii="Garamond" w:eastAsia="Garamond" w:hAnsi="Garamond" w:cs="Garamond"/>
          <w:i/>
          <w:iCs/>
          <w:lang w:val="en-GB"/>
        </w:rPr>
        <w:t xml:space="preserve"> </w:t>
      </w:r>
      <w:r w:rsidRPr="00BD62E7">
        <w:rPr>
          <w:rFonts w:ascii="Garamond" w:eastAsia="Garamond" w:hAnsi="Garamond" w:cs="Garamond"/>
          <w:i/>
          <w:iCs/>
          <w:color w:val="98361E"/>
          <w:lang w:val="en-GB"/>
        </w:rPr>
        <w:t>Recurrence and transversality of the cases</w:t>
      </w:r>
    </w:p>
    <w:p w14:paraId="7862971D"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The cases addressed in the productions reveal a tendency towards the repetition of certain real crimes, which shows a notable interest on the part of the platforms in narratively exploiting events that already form part of the collective media imaginary. The most frequently represented case is the Guardia Urbana crime, with a total of three appearances across different productions. This is followed, with two representations each, by the </w:t>
      </w:r>
      <w:proofErr w:type="spellStart"/>
      <w:r w:rsidRPr="00BD62E7">
        <w:rPr>
          <w:color w:val="231F20"/>
          <w:sz w:val="20"/>
          <w:szCs w:val="20"/>
          <w:lang w:val="en-GB"/>
        </w:rPr>
        <w:t>Alcàsser</w:t>
      </w:r>
      <w:proofErr w:type="spellEnd"/>
      <w:r w:rsidRPr="00BD62E7">
        <w:rPr>
          <w:color w:val="231F20"/>
          <w:sz w:val="20"/>
          <w:szCs w:val="20"/>
          <w:lang w:val="en-GB"/>
        </w:rPr>
        <w:t xml:space="preserve"> crime, the Asunta case, the Isabel Carrasco case, the </w:t>
      </w:r>
      <w:proofErr w:type="spellStart"/>
      <w:r w:rsidRPr="00BD62E7">
        <w:rPr>
          <w:color w:val="231F20"/>
          <w:sz w:val="20"/>
          <w:szCs w:val="20"/>
          <w:lang w:val="en-GB"/>
        </w:rPr>
        <w:t>Wanninkhof</w:t>
      </w:r>
      <w:proofErr w:type="spellEnd"/>
      <w:r w:rsidRPr="00BD62E7">
        <w:rPr>
          <w:color w:val="231F20"/>
          <w:sz w:val="20"/>
          <w:szCs w:val="20"/>
          <w:lang w:val="en-GB"/>
        </w:rPr>
        <w:t xml:space="preserve"> case, the Miramar crimes, the Sancho crime, the crimes of the </w:t>
      </w:r>
      <w:proofErr w:type="spellStart"/>
      <w:r w:rsidRPr="00BD62E7">
        <w:rPr>
          <w:color w:val="231F20"/>
          <w:sz w:val="20"/>
          <w:szCs w:val="20"/>
          <w:lang w:val="en-GB"/>
        </w:rPr>
        <w:t>Baraja</w:t>
      </w:r>
      <w:proofErr w:type="spellEnd"/>
      <w:r w:rsidRPr="00BD62E7">
        <w:rPr>
          <w:color w:val="231F20"/>
          <w:sz w:val="20"/>
          <w:szCs w:val="20"/>
          <w:lang w:val="en-GB"/>
        </w:rPr>
        <w:t xml:space="preserve"> killer, and the </w:t>
      </w:r>
      <w:proofErr w:type="spellStart"/>
      <w:r w:rsidRPr="00BD62E7">
        <w:rPr>
          <w:color w:val="231F20"/>
          <w:sz w:val="20"/>
          <w:szCs w:val="20"/>
          <w:lang w:val="en-GB"/>
        </w:rPr>
        <w:t>Patraix</w:t>
      </w:r>
      <w:proofErr w:type="spellEnd"/>
      <w:r w:rsidRPr="00BD62E7">
        <w:rPr>
          <w:color w:val="231F20"/>
          <w:sz w:val="20"/>
          <w:szCs w:val="20"/>
          <w:lang w:val="en-GB"/>
        </w:rPr>
        <w:t xml:space="preserve"> crime.</w:t>
      </w:r>
    </w:p>
    <w:p w14:paraId="794C2CFE" w14:textId="77777777" w:rsidR="00083156" w:rsidRPr="00BD62E7" w:rsidRDefault="00083156">
      <w:pPr>
        <w:widowControl/>
        <w:pBdr>
          <w:top w:val="nil"/>
          <w:left w:val="nil"/>
          <w:bottom w:val="nil"/>
          <w:right w:val="nil"/>
          <w:between w:val="nil"/>
        </w:pBdr>
        <w:spacing w:after="80"/>
        <w:ind w:left="426" w:right="370"/>
        <w:jc w:val="both"/>
        <w:rPr>
          <w:color w:val="231F20"/>
          <w:sz w:val="20"/>
          <w:szCs w:val="20"/>
          <w:lang w:val="en-GB"/>
        </w:rPr>
      </w:pPr>
    </w:p>
    <w:p w14:paraId="7A66F70B" w14:textId="77777777" w:rsidR="00083156" w:rsidRPr="00BD62E7" w:rsidRDefault="00000000">
      <w:pPr>
        <w:widowControl/>
        <w:pBdr>
          <w:top w:val="nil"/>
          <w:left w:val="nil"/>
          <w:bottom w:val="nil"/>
          <w:right w:val="nil"/>
          <w:between w:val="nil"/>
        </w:pBdr>
        <w:spacing w:after="80"/>
        <w:ind w:left="426" w:right="370"/>
        <w:jc w:val="center"/>
        <w:rPr>
          <w:rFonts w:ascii="Arial" w:eastAsia="Arial" w:hAnsi="Arial" w:cs="Arial"/>
          <w:b/>
          <w:bCs/>
          <w:i/>
          <w:iCs/>
          <w:highlight w:val="yellow"/>
          <w:lang w:val="en-GB"/>
        </w:rPr>
      </w:pPr>
      <w:r w:rsidRPr="00BD62E7">
        <w:rPr>
          <w:color w:val="231F20"/>
          <w:sz w:val="20"/>
          <w:szCs w:val="20"/>
          <w:lang w:val="en-GB"/>
        </w:rPr>
        <w:t>Table 3. Most frequently represented real cases in true crime productions</w:t>
      </w:r>
    </w:p>
    <w:tbl>
      <w:tblPr>
        <w:tblStyle w:val="af4"/>
        <w:tblW w:w="6810" w:type="dxa"/>
        <w:tblInd w:w="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1"/>
        <w:gridCol w:w="2250"/>
        <w:gridCol w:w="1135"/>
        <w:gridCol w:w="1354"/>
        <w:gridCol w:w="930"/>
      </w:tblGrid>
      <w:tr w:rsidR="00083156" w14:paraId="5EB3468E" w14:textId="77777777">
        <w:trPr>
          <w:trHeight w:val="384"/>
        </w:trPr>
        <w:tc>
          <w:tcPr>
            <w:tcW w:w="1141"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5B205B0E" w14:textId="77777777" w:rsidR="00083156" w:rsidRDefault="00000000">
            <w:pPr>
              <w:spacing w:line="192" w:lineRule="auto"/>
              <w:jc w:val="center"/>
              <w:rPr>
                <w:sz w:val="20"/>
                <w:szCs w:val="20"/>
              </w:rPr>
            </w:pPr>
            <w:r>
              <w:rPr>
                <w:b/>
                <w:bCs/>
                <w:sz w:val="20"/>
                <w:szCs w:val="20"/>
              </w:rPr>
              <w:t>Case</w:t>
            </w:r>
          </w:p>
        </w:tc>
        <w:tc>
          <w:tcPr>
            <w:tcW w:w="2250"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0351FDE2" w14:textId="77777777" w:rsidR="00083156" w:rsidRDefault="00000000">
            <w:pPr>
              <w:spacing w:line="192" w:lineRule="auto"/>
              <w:jc w:val="center"/>
              <w:rPr>
                <w:b/>
                <w:bCs/>
                <w:sz w:val="20"/>
                <w:szCs w:val="20"/>
              </w:rPr>
            </w:pPr>
            <w:proofErr w:type="spellStart"/>
            <w:r>
              <w:rPr>
                <w:b/>
                <w:bCs/>
                <w:sz w:val="20"/>
                <w:szCs w:val="20"/>
              </w:rPr>
              <w:t>Productions</w:t>
            </w:r>
            <w:proofErr w:type="spellEnd"/>
          </w:p>
        </w:tc>
        <w:tc>
          <w:tcPr>
            <w:tcW w:w="1135"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7B8579C0" w14:textId="77777777" w:rsidR="00083156" w:rsidRDefault="00000000">
            <w:pPr>
              <w:spacing w:line="192" w:lineRule="auto"/>
              <w:jc w:val="center"/>
              <w:rPr>
                <w:b/>
                <w:bCs/>
                <w:sz w:val="20"/>
                <w:szCs w:val="20"/>
              </w:rPr>
            </w:pPr>
            <w:proofErr w:type="spellStart"/>
            <w:r>
              <w:rPr>
                <w:b/>
                <w:bCs/>
                <w:sz w:val="20"/>
                <w:szCs w:val="20"/>
              </w:rPr>
              <w:t>Platform</w:t>
            </w:r>
            <w:proofErr w:type="spellEnd"/>
          </w:p>
        </w:tc>
        <w:tc>
          <w:tcPr>
            <w:tcW w:w="1354"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4A9CB2DD" w14:textId="77777777" w:rsidR="00083156" w:rsidRDefault="00000000">
            <w:pPr>
              <w:spacing w:line="192" w:lineRule="auto"/>
              <w:jc w:val="center"/>
              <w:rPr>
                <w:b/>
                <w:bCs/>
                <w:sz w:val="20"/>
                <w:szCs w:val="20"/>
              </w:rPr>
            </w:pPr>
            <w:proofErr w:type="spellStart"/>
            <w:r>
              <w:rPr>
                <w:b/>
                <w:bCs/>
                <w:sz w:val="20"/>
                <w:szCs w:val="20"/>
              </w:rPr>
              <w:t>Format</w:t>
            </w:r>
            <w:proofErr w:type="spellEnd"/>
          </w:p>
        </w:tc>
        <w:tc>
          <w:tcPr>
            <w:tcW w:w="930"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center"/>
          </w:tcPr>
          <w:p w14:paraId="78869948" w14:textId="77777777" w:rsidR="00083156" w:rsidRDefault="00000000">
            <w:pPr>
              <w:spacing w:line="192" w:lineRule="auto"/>
              <w:jc w:val="center"/>
              <w:rPr>
                <w:b/>
                <w:bCs/>
                <w:sz w:val="20"/>
                <w:szCs w:val="20"/>
              </w:rPr>
            </w:pPr>
            <w:proofErr w:type="spellStart"/>
            <w:r>
              <w:rPr>
                <w:b/>
                <w:bCs/>
                <w:sz w:val="20"/>
                <w:szCs w:val="20"/>
              </w:rPr>
              <w:t>Year</w:t>
            </w:r>
            <w:proofErr w:type="spellEnd"/>
          </w:p>
        </w:tc>
      </w:tr>
      <w:tr w:rsidR="00083156" w14:paraId="4E12EEDE" w14:textId="77777777">
        <w:trPr>
          <w:trHeight w:val="475"/>
        </w:trPr>
        <w:tc>
          <w:tcPr>
            <w:tcW w:w="1141"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EA6A8E7" w14:textId="60B8C119" w:rsidR="00083156" w:rsidRDefault="00BD62E7">
            <w:pPr>
              <w:spacing w:line="192" w:lineRule="auto"/>
              <w:jc w:val="center"/>
              <w:rPr>
                <w:sz w:val="20"/>
                <w:szCs w:val="20"/>
              </w:rPr>
            </w:pPr>
            <w:r w:rsidRPr="00BD62E7">
              <w:rPr>
                <w:sz w:val="20"/>
                <w:szCs w:val="20"/>
              </w:rPr>
              <w:t xml:space="preserve">Guardia Urbana </w:t>
            </w:r>
            <w:proofErr w:type="spellStart"/>
            <w:r w:rsidRPr="00BD62E7">
              <w:rPr>
                <w:sz w:val="20"/>
                <w:szCs w:val="20"/>
              </w:rPr>
              <w:t>crime</w:t>
            </w:r>
            <w:proofErr w:type="spellEnd"/>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AAA6E4C" w14:textId="77777777" w:rsidR="00083156" w:rsidRDefault="00000000">
            <w:pPr>
              <w:spacing w:line="192" w:lineRule="auto"/>
              <w:jc w:val="center"/>
              <w:rPr>
                <w:sz w:val="20"/>
                <w:szCs w:val="20"/>
              </w:rPr>
            </w:pPr>
            <w:r>
              <w:rPr>
                <w:sz w:val="20"/>
                <w:szCs w:val="20"/>
              </w:rPr>
              <w:t xml:space="preserve">El crimen de la Guardia Urbana </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7564547" w14:textId="77777777" w:rsidR="00083156" w:rsidRDefault="00000000">
            <w:pPr>
              <w:spacing w:line="192" w:lineRule="auto"/>
              <w:jc w:val="center"/>
              <w:rPr>
                <w:sz w:val="20"/>
                <w:szCs w:val="20"/>
              </w:rPr>
            </w:pPr>
            <w:r>
              <w:rPr>
                <w:sz w:val="20"/>
                <w:szCs w:val="20"/>
              </w:rPr>
              <w:t>Movistar+</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3ACB5BF"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3C52B17" w14:textId="77777777" w:rsidR="00083156" w:rsidRDefault="00000000">
            <w:pPr>
              <w:spacing w:line="192" w:lineRule="auto"/>
              <w:jc w:val="center"/>
              <w:rPr>
                <w:sz w:val="20"/>
                <w:szCs w:val="20"/>
              </w:rPr>
            </w:pPr>
            <w:r>
              <w:rPr>
                <w:sz w:val="20"/>
                <w:szCs w:val="20"/>
              </w:rPr>
              <w:t>2021</w:t>
            </w:r>
          </w:p>
        </w:tc>
      </w:tr>
      <w:tr w:rsidR="00083156" w14:paraId="42B767C6" w14:textId="77777777">
        <w:trPr>
          <w:trHeight w:val="455"/>
        </w:trPr>
        <w:tc>
          <w:tcPr>
            <w:tcW w:w="1141" w:type="dxa"/>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7628880" w14:textId="77777777" w:rsidR="00083156" w:rsidRDefault="00083156">
            <w:pPr>
              <w:pBdr>
                <w:top w:val="nil"/>
                <w:left w:val="nil"/>
                <w:bottom w:val="nil"/>
                <w:right w:val="nil"/>
                <w:between w:val="nil"/>
              </w:pBdr>
              <w:spacing w:line="276" w:lineRule="auto"/>
              <w:rPr>
                <w:sz w:val="20"/>
                <w:szCs w:val="20"/>
              </w:rPr>
            </w:pP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A1B65C7" w14:textId="77777777" w:rsidR="00083156" w:rsidRDefault="00000000">
            <w:pPr>
              <w:spacing w:line="192" w:lineRule="auto"/>
              <w:jc w:val="center"/>
              <w:rPr>
                <w:sz w:val="20"/>
                <w:szCs w:val="20"/>
              </w:rPr>
            </w:pPr>
            <w:r>
              <w:rPr>
                <w:sz w:val="20"/>
                <w:szCs w:val="20"/>
              </w:rPr>
              <w:t>El cuerpo en llamas</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1C3D82" w14:textId="77777777" w:rsidR="00083156" w:rsidRDefault="00000000">
            <w:pPr>
              <w:spacing w:line="192" w:lineRule="auto"/>
              <w:jc w:val="center"/>
              <w:rPr>
                <w:sz w:val="20"/>
                <w:szCs w:val="20"/>
              </w:rPr>
            </w:pPr>
            <w:r>
              <w:rPr>
                <w:sz w:val="20"/>
                <w:szCs w:val="20"/>
              </w:rPr>
              <w:t>Netflix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E70A999" w14:textId="77777777" w:rsidR="00083156" w:rsidRDefault="00000000">
            <w:pPr>
              <w:spacing w:line="192" w:lineRule="auto"/>
              <w:jc w:val="center"/>
              <w:rPr>
                <w:sz w:val="20"/>
                <w:szCs w:val="20"/>
              </w:rPr>
            </w:pPr>
            <w:proofErr w:type="spellStart"/>
            <w:r>
              <w:rPr>
                <w:sz w:val="20"/>
                <w:szCs w:val="20"/>
              </w:rPr>
              <w:t>Fiction</w:t>
            </w:r>
            <w:proofErr w:type="spellEnd"/>
            <w:r>
              <w:rPr>
                <w:sz w:val="20"/>
                <w:szCs w:val="20"/>
              </w:rPr>
              <w:t xml:space="preserve"> 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32738B5" w14:textId="77777777" w:rsidR="00083156" w:rsidRDefault="00000000">
            <w:pPr>
              <w:spacing w:line="192" w:lineRule="auto"/>
              <w:jc w:val="center"/>
              <w:rPr>
                <w:sz w:val="20"/>
                <w:szCs w:val="20"/>
              </w:rPr>
            </w:pPr>
            <w:r>
              <w:rPr>
                <w:sz w:val="20"/>
                <w:szCs w:val="20"/>
              </w:rPr>
              <w:t>2023</w:t>
            </w:r>
          </w:p>
        </w:tc>
      </w:tr>
      <w:tr w:rsidR="00083156" w14:paraId="3E61F0B7" w14:textId="77777777">
        <w:tc>
          <w:tcPr>
            <w:tcW w:w="1141" w:type="dxa"/>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114DFB0" w14:textId="77777777" w:rsidR="00083156" w:rsidRDefault="00083156">
            <w:pPr>
              <w:pBdr>
                <w:top w:val="nil"/>
                <w:left w:val="nil"/>
                <w:bottom w:val="nil"/>
                <w:right w:val="nil"/>
                <w:between w:val="nil"/>
              </w:pBdr>
              <w:spacing w:line="276" w:lineRule="auto"/>
              <w:rPr>
                <w:sz w:val="20"/>
                <w:szCs w:val="20"/>
              </w:rPr>
            </w:pP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8D624B9" w14:textId="77777777" w:rsidR="00083156" w:rsidRDefault="00000000">
            <w:pPr>
              <w:spacing w:line="192" w:lineRule="auto"/>
              <w:jc w:val="center"/>
              <w:rPr>
                <w:sz w:val="20"/>
                <w:szCs w:val="20"/>
              </w:rPr>
            </w:pPr>
            <w:r>
              <w:rPr>
                <w:sz w:val="20"/>
                <w:szCs w:val="20"/>
              </w:rPr>
              <w:t>Las cintas de Rosa Peral</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A4BB97A" w14:textId="77777777" w:rsidR="00083156" w:rsidRDefault="00000000">
            <w:pPr>
              <w:spacing w:line="192" w:lineRule="auto"/>
              <w:jc w:val="center"/>
              <w:rPr>
                <w:sz w:val="20"/>
                <w:szCs w:val="20"/>
              </w:rPr>
            </w:pPr>
            <w:r>
              <w:rPr>
                <w:sz w:val="20"/>
                <w:szCs w:val="20"/>
              </w:rPr>
              <w:t>Netflix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6176938"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w:t>
            </w:r>
            <w:proofErr w:type="gramStart"/>
            <w:r>
              <w:rPr>
                <w:sz w:val="20"/>
                <w:szCs w:val="20"/>
              </w:rPr>
              <w:t>film</w:t>
            </w:r>
            <w:proofErr w:type="gramEnd"/>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B2C5267" w14:textId="77777777" w:rsidR="00083156" w:rsidRDefault="00000000">
            <w:pPr>
              <w:spacing w:line="192" w:lineRule="auto"/>
              <w:jc w:val="center"/>
              <w:rPr>
                <w:sz w:val="20"/>
                <w:szCs w:val="20"/>
              </w:rPr>
            </w:pPr>
            <w:r>
              <w:rPr>
                <w:sz w:val="20"/>
                <w:szCs w:val="20"/>
              </w:rPr>
              <w:t>2023</w:t>
            </w:r>
          </w:p>
        </w:tc>
      </w:tr>
      <w:tr w:rsidR="00083156" w14:paraId="67F8827C" w14:textId="77777777">
        <w:tc>
          <w:tcPr>
            <w:tcW w:w="1141"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E5C7844" w14:textId="435CFE30" w:rsidR="00083156" w:rsidRDefault="00BD62E7">
            <w:pPr>
              <w:spacing w:line="192" w:lineRule="auto"/>
              <w:jc w:val="center"/>
              <w:rPr>
                <w:sz w:val="20"/>
                <w:szCs w:val="20"/>
              </w:rPr>
            </w:pPr>
            <w:r w:rsidRPr="00BD62E7">
              <w:rPr>
                <w:sz w:val="20"/>
                <w:szCs w:val="20"/>
              </w:rPr>
              <w:t xml:space="preserve">The </w:t>
            </w:r>
            <w:proofErr w:type="spellStart"/>
            <w:r w:rsidRPr="00BD62E7">
              <w:rPr>
                <w:sz w:val="20"/>
                <w:szCs w:val="20"/>
              </w:rPr>
              <w:t>Playing</w:t>
            </w:r>
            <w:proofErr w:type="spellEnd"/>
            <w:r w:rsidRPr="00BD62E7">
              <w:rPr>
                <w:sz w:val="20"/>
                <w:szCs w:val="20"/>
              </w:rPr>
              <w:t xml:space="preserve"> Card Killer</w:t>
            </w: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C7EB619" w14:textId="77777777" w:rsidR="00083156" w:rsidRDefault="00000000">
            <w:pPr>
              <w:spacing w:line="192" w:lineRule="auto"/>
              <w:jc w:val="center"/>
              <w:rPr>
                <w:sz w:val="20"/>
                <w:szCs w:val="20"/>
              </w:rPr>
            </w:pPr>
            <w:r>
              <w:rPr>
                <w:sz w:val="20"/>
                <w:szCs w:val="20"/>
              </w:rPr>
              <w:t>El asesino de la baraja</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41CBE6A" w14:textId="77777777" w:rsidR="00083156" w:rsidRDefault="00000000">
            <w:pPr>
              <w:spacing w:line="192" w:lineRule="auto"/>
              <w:jc w:val="center"/>
              <w:rPr>
                <w:sz w:val="20"/>
                <w:szCs w:val="20"/>
              </w:rPr>
            </w:pPr>
            <w:r>
              <w:rPr>
                <w:sz w:val="20"/>
                <w:szCs w:val="20"/>
              </w:rPr>
              <w:t>RTVE Play/</w:t>
            </w:r>
            <w:proofErr w:type="spellStart"/>
            <w:r>
              <w:rPr>
                <w:sz w:val="20"/>
                <w:szCs w:val="20"/>
              </w:rPr>
              <w:t>Playz</w:t>
            </w:r>
            <w:proofErr w:type="spellEnd"/>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DC1C079"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D01C53D" w14:textId="77777777" w:rsidR="00083156" w:rsidRDefault="00000000">
            <w:pPr>
              <w:spacing w:line="192" w:lineRule="auto"/>
              <w:jc w:val="center"/>
              <w:rPr>
                <w:sz w:val="20"/>
                <w:szCs w:val="20"/>
              </w:rPr>
            </w:pPr>
            <w:r>
              <w:rPr>
                <w:sz w:val="20"/>
                <w:szCs w:val="20"/>
              </w:rPr>
              <w:t>2022</w:t>
            </w:r>
          </w:p>
        </w:tc>
      </w:tr>
      <w:tr w:rsidR="00083156" w14:paraId="47BFA573" w14:textId="77777777">
        <w:tc>
          <w:tcPr>
            <w:tcW w:w="1141" w:type="dxa"/>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3B2BA45" w14:textId="77777777" w:rsidR="00083156" w:rsidRDefault="00083156">
            <w:pPr>
              <w:pBdr>
                <w:top w:val="nil"/>
                <w:left w:val="nil"/>
                <w:bottom w:val="nil"/>
                <w:right w:val="nil"/>
                <w:between w:val="nil"/>
              </w:pBdr>
              <w:spacing w:line="276" w:lineRule="auto"/>
              <w:rPr>
                <w:sz w:val="20"/>
                <w:szCs w:val="20"/>
              </w:rPr>
            </w:pP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AA0C022" w14:textId="77777777" w:rsidR="00083156" w:rsidRDefault="00000000">
            <w:pPr>
              <w:spacing w:line="192" w:lineRule="auto"/>
              <w:jc w:val="center"/>
              <w:rPr>
                <w:sz w:val="20"/>
                <w:szCs w:val="20"/>
              </w:rPr>
            </w:pPr>
            <w:r>
              <w:rPr>
                <w:sz w:val="20"/>
                <w:szCs w:val="20"/>
              </w:rPr>
              <w:t>Baraja: la firma del asesino</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3F7B4BD" w14:textId="77777777" w:rsidR="00083156" w:rsidRDefault="00000000">
            <w:pPr>
              <w:spacing w:line="192" w:lineRule="auto"/>
              <w:jc w:val="center"/>
              <w:rPr>
                <w:sz w:val="20"/>
                <w:szCs w:val="20"/>
              </w:rPr>
            </w:pPr>
            <w:r>
              <w:rPr>
                <w:sz w:val="20"/>
                <w:szCs w:val="20"/>
              </w:rPr>
              <w:t>Netflix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0DD8F14"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EC6B2A2" w14:textId="77777777" w:rsidR="00083156" w:rsidRDefault="00000000">
            <w:pPr>
              <w:spacing w:line="192" w:lineRule="auto"/>
              <w:jc w:val="center"/>
              <w:rPr>
                <w:sz w:val="20"/>
                <w:szCs w:val="20"/>
              </w:rPr>
            </w:pPr>
            <w:r>
              <w:rPr>
                <w:sz w:val="20"/>
                <w:szCs w:val="20"/>
              </w:rPr>
              <w:t>2023</w:t>
            </w:r>
          </w:p>
        </w:tc>
      </w:tr>
      <w:tr w:rsidR="00083156" w14:paraId="68E996C3" w14:textId="77777777">
        <w:tc>
          <w:tcPr>
            <w:tcW w:w="1141"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E3B1A40" w14:textId="60A59454" w:rsidR="00083156" w:rsidRDefault="00BD62E7">
            <w:pPr>
              <w:spacing w:line="192" w:lineRule="auto"/>
              <w:jc w:val="center"/>
              <w:rPr>
                <w:sz w:val="20"/>
                <w:szCs w:val="20"/>
              </w:rPr>
            </w:pPr>
            <w:r w:rsidRPr="00BD62E7">
              <w:rPr>
                <w:sz w:val="20"/>
                <w:szCs w:val="20"/>
              </w:rPr>
              <w:t>Asunta Basterra case</w:t>
            </w: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C6ACB2F" w14:textId="77777777" w:rsidR="00083156" w:rsidRDefault="00000000">
            <w:pPr>
              <w:spacing w:line="192" w:lineRule="auto"/>
              <w:jc w:val="center"/>
              <w:rPr>
                <w:sz w:val="20"/>
                <w:szCs w:val="20"/>
              </w:rPr>
            </w:pPr>
            <w:r>
              <w:rPr>
                <w:sz w:val="20"/>
                <w:szCs w:val="20"/>
              </w:rPr>
              <w:t>El caso Asunta: Operación Nenúfar</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801C449" w14:textId="77777777" w:rsidR="00083156" w:rsidRDefault="00000000">
            <w:pPr>
              <w:spacing w:line="192" w:lineRule="auto"/>
              <w:jc w:val="center"/>
              <w:rPr>
                <w:sz w:val="20"/>
                <w:szCs w:val="20"/>
              </w:rPr>
            </w:pPr>
            <w:r>
              <w:rPr>
                <w:sz w:val="20"/>
                <w:szCs w:val="20"/>
              </w:rPr>
              <w:t>Netflix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6D3E1D0"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98AB25E" w14:textId="77777777" w:rsidR="00083156" w:rsidRDefault="00000000">
            <w:pPr>
              <w:spacing w:line="192" w:lineRule="auto"/>
              <w:jc w:val="center"/>
              <w:rPr>
                <w:sz w:val="20"/>
                <w:szCs w:val="20"/>
              </w:rPr>
            </w:pPr>
            <w:r>
              <w:rPr>
                <w:sz w:val="20"/>
                <w:szCs w:val="20"/>
              </w:rPr>
              <w:t>2017</w:t>
            </w:r>
          </w:p>
        </w:tc>
      </w:tr>
      <w:tr w:rsidR="00083156" w14:paraId="15FBC534" w14:textId="77777777">
        <w:tc>
          <w:tcPr>
            <w:tcW w:w="1141" w:type="dxa"/>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449B624" w14:textId="77777777" w:rsidR="00083156" w:rsidRDefault="00083156">
            <w:pPr>
              <w:pBdr>
                <w:top w:val="nil"/>
                <w:left w:val="nil"/>
                <w:bottom w:val="nil"/>
                <w:right w:val="nil"/>
                <w:between w:val="nil"/>
              </w:pBdr>
              <w:spacing w:line="276" w:lineRule="auto"/>
              <w:rPr>
                <w:sz w:val="20"/>
                <w:szCs w:val="20"/>
              </w:rPr>
            </w:pP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ADD7437" w14:textId="77777777" w:rsidR="00083156" w:rsidRDefault="00000000">
            <w:pPr>
              <w:spacing w:line="192" w:lineRule="auto"/>
              <w:jc w:val="center"/>
              <w:rPr>
                <w:sz w:val="20"/>
                <w:szCs w:val="20"/>
              </w:rPr>
            </w:pPr>
            <w:r>
              <w:rPr>
                <w:sz w:val="20"/>
                <w:szCs w:val="20"/>
              </w:rPr>
              <w:t>El caso Asunta</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CC06CD3" w14:textId="77777777" w:rsidR="00083156" w:rsidRDefault="00000000">
            <w:pPr>
              <w:spacing w:line="192" w:lineRule="auto"/>
              <w:jc w:val="center"/>
              <w:rPr>
                <w:sz w:val="20"/>
                <w:szCs w:val="20"/>
              </w:rPr>
            </w:pPr>
            <w:r>
              <w:rPr>
                <w:sz w:val="20"/>
                <w:szCs w:val="20"/>
              </w:rPr>
              <w:t>Netflix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D1BA476" w14:textId="77777777" w:rsidR="00083156" w:rsidRDefault="00000000">
            <w:pPr>
              <w:spacing w:line="192" w:lineRule="auto"/>
              <w:jc w:val="center"/>
              <w:rPr>
                <w:sz w:val="20"/>
                <w:szCs w:val="20"/>
              </w:rPr>
            </w:pPr>
            <w:proofErr w:type="spellStart"/>
            <w:r>
              <w:rPr>
                <w:sz w:val="20"/>
                <w:szCs w:val="20"/>
              </w:rPr>
              <w:t>Fiction</w:t>
            </w:r>
            <w:proofErr w:type="spellEnd"/>
            <w:r>
              <w:rPr>
                <w:sz w:val="20"/>
                <w:szCs w:val="20"/>
              </w:rPr>
              <w:t xml:space="preserve"> 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880F31F" w14:textId="77777777" w:rsidR="00083156" w:rsidRDefault="00000000">
            <w:pPr>
              <w:spacing w:line="192" w:lineRule="auto"/>
              <w:jc w:val="center"/>
              <w:rPr>
                <w:sz w:val="20"/>
                <w:szCs w:val="20"/>
              </w:rPr>
            </w:pPr>
            <w:r>
              <w:rPr>
                <w:sz w:val="20"/>
                <w:szCs w:val="20"/>
              </w:rPr>
              <w:t>2024</w:t>
            </w:r>
          </w:p>
        </w:tc>
      </w:tr>
      <w:tr w:rsidR="00083156" w14:paraId="4433CF22" w14:textId="77777777">
        <w:tc>
          <w:tcPr>
            <w:tcW w:w="1141"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6C926AB" w14:textId="7FF685D9" w:rsidR="00083156" w:rsidRDefault="00000000">
            <w:pPr>
              <w:spacing w:line="192" w:lineRule="auto"/>
              <w:jc w:val="center"/>
              <w:rPr>
                <w:sz w:val="20"/>
                <w:szCs w:val="20"/>
              </w:rPr>
            </w:pPr>
            <w:r>
              <w:rPr>
                <w:sz w:val="20"/>
                <w:szCs w:val="20"/>
              </w:rPr>
              <w:t xml:space="preserve">Isabel </w:t>
            </w:r>
            <w:r>
              <w:rPr>
                <w:sz w:val="20"/>
                <w:szCs w:val="20"/>
              </w:rPr>
              <w:lastRenderedPageBreak/>
              <w:t>Carrasco</w:t>
            </w:r>
            <w:r w:rsidR="00BD62E7">
              <w:rPr>
                <w:sz w:val="20"/>
                <w:szCs w:val="20"/>
              </w:rPr>
              <w:t xml:space="preserve"> </w:t>
            </w:r>
            <w:proofErr w:type="spellStart"/>
            <w:r w:rsidR="00BD62E7" w:rsidRPr="00BD62E7">
              <w:rPr>
                <w:sz w:val="20"/>
                <w:szCs w:val="20"/>
              </w:rPr>
              <w:t>murder</w:t>
            </w:r>
            <w:proofErr w:type="spellEnd"/>
            <w:r w:rsidR="00BD62E7" w:rsidRPr="00BD62E7">
              <w:rPr>
                <w:sz w:val="20"/>
                <w:szCs w:val="20"/>
              </w:rPr>
              <w:t xml:space="preserve"> case</w:t>
            </w: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DDD529A" w14:textId="77777777" w:rsidR="00083156" w:rsidRDefault="00000000">
            <w:pPr>
              <w:spacing w:line="192" w:lineRule="auto"/>
              <w:jc w:val="center"/>
              <w:rPr>
                <w:sz w:val="20"/>
                <w:szCs w:val="20"/>
              </w:rPr>
            </w:pPr>
            <w:r>
              <w:rPr>
                <w:sz w:val="20"/>
                <w:szCs w:val="20"/>
              </w:rPr>
              <w:lastRenderedPageBreak/>
              <w:t>Muerte en León</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EB6A7C0" w14:textId="77777777" w:rsidR="00083156" w:rsidRDefault="00000000">
            <w:pPr>
              <w:spacing w:line="192" w:lineRule="auto"/>
              <w:jc w:val="center"/>
              <w:rPr>
                <w:sz w:val="20"/>
                <w:szCs w:val="20"/>
              </w:rPr>
            </w:pPr>
            <w:r>
              <w:rPr>
                <w:sz w:val="20"/>
                <w:szCs w:val="20"/>
              </w:rPr>
              <w:t>Movistar+</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04E475E"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w:t>
            </w:r>
            <w:r>
              <w:rPr>
                <w:sz w:val="20"/>
                <w:szCs w:val="20"/>
              </w:rPr>
              <w:lastRenderedPageBreak/>
              <w:t>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614BA16" w14:textId="77777777" w:rsidR="00083156" w:rsidRDefault="00000000">
            <w:pPr>
              <w:spacing w:line="192" w:lineRule="auto"/>
              <w:jc w:val="center"/>
              <w:rPr>
                <w:sz w:val="20"/>
                <w:szCs w:val="20"/>
              </w:rPr>
            </w:pPr>
            <w:r>
              <w:rPr>
                <w:sz w:val="20"/>
                <w:szCs w:val="20"/>
              </w:rPr>
              <w:lastRenderedPageBreak/>
              <w:t>2016</w:t>
            </w:r>
          </w:p>
        </w:tc>
      </w:tr>
      <w:tr w:rsidR="00083156" w14:paraId="1E1B7C16" w14:textId="77777777">
        <w:tc>
          <w:tcPr>
            <w:tcW w:w="1141" w:type="dxa"/>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29E2FD5" w14:textId="77777777" w:rsidR="00083156" w:rsidRDefault="00083156">
            <w:pPr>
              <w:pBdr>
                <w:top w:val="nil"/>
                <w:left w:val="nil"/>
                <w:bottom w:val="nil"/>
                <w:right w:val="nil"/>
                <w:between w:val="nil"/>
              </w:pBdr>
              <w:spacing w:line="276" w:lineRule="auto"/>
              <w:rPr>
                <w:sz w:val="20"/>
                <w:szCs w:val="20"/>
              </w:rPr>
            </w:pP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9DC81B" w14:textId="77777777" w:rsidR="00083156" w:rsidRDefault="00000000">
            <w:pPr>
              <w:spacing w:line="192" w:lineRule="auto"/>
              <w:jc w:val="center"/>
              <w:rPr>
                <w:sz w:val="20"/>
                <w:szCs w:val="20"/>
              </w:rPr>
            </w:pPr>
            <w:r>
              <w:rPr>
                <w:sz w:val="20"/>
                <w:szCs w:val="20"/>
              </w:rPr>
              <w:t xml:space="preserve">Muerte en León: Caso cerrado </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512A9D3" w14:textId="77777777" w:rsidR="00083156" w:rsidRDefault="00000000">
            <w:pPr>
              <w:spacing w:line="192" w:lineRule="auto"/>
              <w:jc w:val="center"/>
              <w:rPr>
                <w:sz w:val="20"/>
                <w:szCs w:val="20"/>
              </w:rPr>
            </w:pPr>
            <w:r>
              <w:rPr>
                <w:sz w:val="20"/>
                <w:szCs w:val="20"/>
              </w:rPr>
              <w:t>HBO Max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809BA5B"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w:t>
            </w:r>
            <w:proofErr w:type="gramStart"/>
            <w:r>
              <w:rPr>
                <w:sz w:val="20"/>
                <w:szCs w:val="20"/>
              </w:rPr>
              <w:t>film</w:t>
            </w:r>
            <w:proofErr w:type="gramEnd"/>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3ED919" w14:textId="77777777" w:rsidR="00083156" w:rsidRDefault="00000000">
            <w:pPr>
              <w:spacing w:line="192" w:lineRule="auto"/>
              <w:jc w:val="center"/>
              <w:rPr>
                <w:sz w:val="20"/>
                <w:szCs w:val="20"/>
              </w:rPr>
            </w:pPr>
            <w:r>
              <w:rPr>
                <w:sz w:val="20"/>
                <w:szCs w:val="20"/>
              </w:rPr>
              <w:t>2019</w:t>
            </w:r>
          </w:p>
        </w:tc>
      </w:tr>
      <w:tr w:rsidR="00083156" w14:paraId="6FBE618F" w14:textId="77777777">
        <w:tc>
          <w:tcPr>
            <w:tcW w:w="1141"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F740FF7" w14:textId="04E4EC66" w:rsidR="00083156" w:rsidRDefault="00BD62E7">
            <w:pPr>
              <w:spacing w:line="192" w:lineRule="auto"/>
              <w:jc w:val="center"/>
              <w:rPr>
                <w:sz w:val="20"/>
                <w:szCs w:val="20"/>
              </w:rPr>
            </w:pPr>
            <w:proofErr w:type="spellStart"/>
            <w:r w:rsidRPr="00BD62E7">
              <w:rPr>
                <w:sz w:val="20"/>
                <w:szCs w:val="20"/>
              </w:rPr>
              <w:t>Wanninkhof</w:t>
            </w:r>
            <w:proofErr w:type="spellEnd"/>
            <w:r w:rsidRPr="00BD62E7">
              <w:rPr>
                <w:sz w:val="20"/>
                <w:szCs w:val="20"/>
              </w:rPr>
              <w:t xml:space="preserve"> case</w:t>
            </w: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2954482" w14:textId="77777777" w:rsidR="00083156" w:rsidRDefault="00000000">
            <w:pPr>
              <w:spacing w:line="192" w:lineRule="auto"/>
              <w:jc w:val="center"/>
              <w:rPr>
                <w:sz w:val="20"/>
                <w:szCs w:val="20"/>
              </w:rPr>
            </w:pPr>
            <w:r>
              <w:rPr>
                <w:sz w:val="20"/>
                <w:szCs w:val="20"/>
              </w:rPr>
              <w:t xml:space="preserve">El caso </w:t>
            </w:r>
            <w:proofErr w:type="spellStart"/>
            <w:r>
              <w:rPr>
                <w:sz w:val="20"/>
                <w:szCs w:val="20"/>
              </w:rPr>
              <w:t>Wanninkhof</w:t>
            </w:r>
            <w:proofErr w:type="spellEnd"/>
            <w:r>
              <w:rPr>
                <w:sz w:val="20"/>
                <w:szCs w:val="20"/>
              </w:rPr>
              <w:t xml:space="preserve">-Carabantes </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371F788" w14:textId="77777777" w:rsidR="00083156" w:rsidRDefault="00000000">
            <w:pPr>
              <w:spacing w:line="192" w:lineRule="auto"/>
              <w:jc w:val="center"/>
              <w:rPr>
                <w:sz w:val="20"/>
                <w:szCs w:val="20"/>
              </w:rPr>
            </w:pPr>
            <w:r>
              <w:rPr>
                <w:sz w:val="20"/>
                <w:szCs w:val="20"/>
              </w:rPr>
              <w:t>Netflix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632011B"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w:t>
            </w:r>
            <w:proofErr w:type="gramStart"/>
            <w:r>
              <w:rPr>
                <w:sz w:val="20"/>
                <w:szCs w:val="20"/>
              </w:rPr>
              <w:t>film</w:t>
            </w:r>
            <w:proofErr w:type="gramEnd"/>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7616DCE" w14:textId="77777777" w:rsidR="00083156" w:rsidRDefault="00000000">
            <w:pPr>
              <w:spacing w:line="192" w:lineRule="auto"/>
              <w:jc w:val="center"/>
              <w:rPr>
                <w:sz w:val="20"/>
                <w:szCs w:val="20"/>
              </w:rPr>
            </w:pPr>
            <w:r>
              <w:rPr>
                <w:sz w:val="20"/>
                <w:szCs w:val="20"/>
              </w:rPr>
              <w:t>2021</w:t>
            </w:r>
          </w:p>
        </w:tc>
      </w:tr>
      <w:tr w:rsidR="00083156" w14:paraId="42291D5D" w14:textId="77777777">
        <w:tc>
          <w:tcPr>
            <w:tcW w:w="1141" w:type="dxa"/>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5B1902D" w14:textId="77777777" w:rsidR="00083156" w:rsidRDefault="00083156">
            <w:pPr>
              <w:pBdr>
                <w:top w:val="nil"/>
                <w:left w:val="nil"/>
                <w:bottom w:val="nil"/>
                <w:right w:val="nil"/>
                <w:between w:val="nil"/>
              </w:pBdr>
              <w:spacing w:line="276" w:lineRule="auto"/>
              <w:rPr>
                <w:sz w:val="20"/>
                <w:szCs w:val="20"/>
              </w:rPr>
            </w:pP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7F4F779" w14:textId="77777777" w:rsidR="00083156" w:rsidRDefault="00000000">
            <w:pPr>
              <w:spacing w:line="192" w:lineRule="auto"/>
              <w:jc w:val="center"/>
              <w:rPr>
                <w:sz w:val="20"/>
                <w:szCs w:val="20"/>
              </w:rPr>
            </w:pPr>
            <w:r>
              <w:rPr>
                <w:sz w:val="20"/>
                <w:szCs w:val="20"/>
              </w:rPr>
              <w:t xml:space="preserve">Dolores: La verdad sobre el Caso </w:t>
            </w:r>
            <w:proofErr w:type="spellStart"/>
            <w:r>
              <w:rPr>
                <w:sz w:val="20"/>
                <w:szCs w:val="20"/>
              </w:rPr>
              <w:t>Wanninkhof</w:t>
            </w:r>
            <w:proofErr w:type="spellEnd"/>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BC6B0CD" w14:textId="77777777" w:rsidR="00083156" w:rsidRDefault="00000000">
            <w:pPr>
              <w:spacing w:line="192" w:lineRule="auto"/>
              <w:jc w:val="center"/>
              <w:rPr>
                <w:sz w:val="20"/>
                <w:szCs w:val="20"/>
              </w:rPr>
            </w:pPr>
            <w:r>
              <w:rPr>
                <w:sz w:val="20"/>
                <w:szCs w:val="20"/>
              </w:rPr>
              <w:t>HBO Max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0798C21"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0197CA" w14:textId="77777777" w:rsidR="00083156" w:rsidRDefault="00000000">
            <w:pPr>
              <w:spacing w:line="192" w:lineRule="auto"/>
              <w:jc w:val="center"/>
              <w:rPr>
                <w:sz w:val="20"/>
                <w:szCs w:val="20"/>
              </w:rPr>
            </w:pPr>
            <w:r>
              <w:rPr>
                <w:sz w:val="20"/>
                <w:szCs w:val="20"/>
              </w:rPr>
              <w:t>2021</w:t>
            </w:r>
          </w:p>
        </w:tc>
      </w:tr>
      <w:tr w:rsidR="00083156" w14:paraId="55C2D041" w14:textId="77777777">
        <w:tc>
          <w:tcPr>
            <w:tcW w:w="1141"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E5851BA" w14:textId="71437948" w:rsidR="00083156" w:rsidRDefault="00BD62E7">
            <w:pPr>
              <w:spacing w:line="192" w:lineRule="auto"/>
              <w:jc w:val="center"/>
              <w:rPr>
                <w:sz w:val="20"/>
                <w:szCs w:val="20"/>
              </w:rPr>
            </w:pPr>
            <w:r w:rsidRPr="00BD62E7">
              <w:rPr>
                <w:sz w:val="20"/>
                <w:szCs w:val="20"/>
              </w:rPr>
              <w:t xml:space="preserve">Miramar </w:t>
            </w:r>
            <w:proofErr w:type="spellStart"/>
            <w:r w:rsidRPr="00BD62E7">
              <w:rPr>
                <w:sz w:val="20"/>
                <w:szCs w:val="20"/>
              </w:rPr>
              <w:t>crimes</w:t>
            </w:r>
            <w:proofErr w:type="spellEnd"/>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D441759" w14:textId="77777777" w:rsidR="00083156" w:rsidRDefault="00000000">
            <w:pPr>
              <w:spacing w:line="192" w:lineRule="auto"/>
              <w:jc w:val="center"/>
              <w:rPr>
                <w:sz w:val="20"/>
                <w:szCs w:val="20"/>
              </w:rPr>
            </w:pPr>
            <w:r>
              <w:rPr>
                <w:sz w:val="20"/>
                <w:szCs w:val="20"/>
              </w:rPr>
              <w:t xml:space="preserve">En el corredor de la muerte </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84095D0" w14:textId="77777777" w:rsidR="00083156" w:rsidRDefault="00000000">
            <w:pPr>
              <w:spacing w:line="192" w:lineRule="auto"/>
              <w:jc w:val="center"/>
              <w:rPr>
                <w:sz w:val="20"/>
                <w:szCs w:val="20"/>
              </w:rPr>
            </w:pPr>
            <w:r>
              <w:rPr>
                <w:sz w:val="20"/>
                <w:szCs w:val="20"/>
              </w:rPr>
              <w:t>Movistar+</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0C0164C" w14:textId="77777777" w:rsidR="00083156" w:rsidRDefault="00000000">
            <w:pPr>
              <w:spacing w:line="192" w:lineRule="auto"/>
              <w:jc w:val="center"/>
              <w:rPr>
                <w:sz w:val="20"/>
                <w:szCs w:val="20"/>
              </w:rPr>
            </w:pPr>
            <w:proofErr w:type="spellStart"/>
            <w:r>
              <w:rPr>
                <w:sz w:val="20"/>
                <w:szCs w:val="20"/>
              </w:rPr>
              <w:t>Fiction</w:t>
            </w:r>
            <w:proofErr w:type="spellEnd"/>
            <w:r>
              <w:rPr>
                <w:sz w:val="20"/>
                <w:szCs w:val="20"/>
              </w:rPr>
              <w:t xml:space="preserve"> 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4240AE5" w14:textId="77777777" w:rsidR="00083156" w:rsidRDefault="00000000">
            <w:pPr>
              <w:spacing w:line="192" w:lineRule="auto"/>
              <w:jc w:val="center"/>
              <w:rPr>
                <w:sz w:val="20"/>
                <w:szCs w:val="20"/>
              </w:rPr>
            </w:pPr>
            <w:r>
              <w:rPr>
                <w:sz w:val="20"/>
                <w:szCs w:val="20"/>
              </w:rPr>
              <w:t>2019</w:t>
            </w:r>
          </w:p>
        </w:tc>
      </w:tr>
      <w:tr w:rsidR="00083156" w14:paraId="2931D181" w14:textId="77777777">
        <w:tc>
          <w:tcPr>
            <w:tcW w:w="1141" w:type="dxa"/>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DBC237C" w14:textId="77777777" w:rsidR="00083156" w:rsidRDefault="00083156">
            <w:pPr>
              <w:pBdr>
                <w:top w:val="nil"/>
                <w:left w:val="nil"/>
                <w:bottom w:val="nil"/>
                <w:right w:val="nil"/>
                <w:between w:val="nil"/>
              </w:pBdr>
              <w:spacing w:line="276" w:lineRule="auto"/>
              <w:rPr>
                <w:sz w:val="20"/>
                <w:szCs w:val="20"/>
              </w:rPr>
            </w:pP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5AA05AB" w14:textId="77777777" w:rsidR="00083156" w:rsidRDefault="00000000">
            <w:pPr>
              <w:spacing w:line="192" w:lineRule="auto"/>
              <w:jc w:val="center"/>
              <w:rPr>
                <w:sz w:val="20"/>
                <w:szCs w:val="20"/>
              </w:rPr>
            </w:pPr>
            <w:r>
              <w:rPr>
                <w:sz w:val="20"/>
                <w:szCs w:val="20"/>
              </w:rPr>
              <w:t>El Estado contra Pablo Ibar</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6A83EC0" w14:textId="77777777" w:rsidR="00083156" w:rsidRDefault="00000000">
            <w:pPr>
              <w:spacing w:line="192" w:lineRule="auto"/>
              <w:jc w:val="center"/>
              <w:rPr>
                <w:sz w:val="20"/>
                <w:szCs w:val="20"/>
              </w:rPr>
            </w:pPr>
            <w:r>
              <w:rPr>
                <w:sz w:val="20"/>
                <w:szCs w:val="20"/>
              </w:rPr>
              <w:t>HBO Max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F7C061E"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w:t>
            </w:r>
            <w:proofErr w:type="gramStart"/>
            <w:r>
              <w:rPr>
                <w:sz w:val="20"/>
                <w:szCs w:val="20"/>
              </w:rPr>
              <w:t>film</w:t>
            </w:r>
            <w:proofErr w:type="gramEnd"/>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40399D8" w14:textId="77777777" w:rsidR="00083156" w:rsidRDefault="00000000">
            <w:pPr>
              <w:spacing w:line="192" w:lineRule="auto"/>
              <w:jc w:val="center"/>
              <w:rPr>
                <w:sz w:val="20"/>
                <w:szCs w:val="20"/>
              </w:rPr>
            </w:pPr>
            <w:r>
              <w:rPr>
                <w:sz w:val="20"/>
                <w:szCs w:val="20"/>
              </w:rPr>
              <w:t>2020</w:t>
            </w:r>
          </w:p>
        </w:tc>
      </w:tr>
      <w:tr w:rsidR="00083156" w14:paraId="36619DE3" w14:textId="77777777">
        <w:tc>
          <w:tcPr>
            <w:tcW w:w="1141"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73F1A20" w14:textId="0A7535C3" w:rsidR="00083156" w:rsidRDefault="00BD62E7">
            <w:pPr>
              <w:spacing w:line="192" w:lineRule="auto"/>
              <w:jc w:val="center"/>
              <w:rPr>
                <w:sz w:val="20"/>
                <w:szCs w:val="20"/>
              </w:rPr>
            </w:pPr>
            <w:r w:rsidRPr="00BD62E7">
              <w:rPr>
                <w:sz w:val="20"/>
                <w:szCs w:val="20"/>
              </w:rPr>
              <w:t>Daniel Sancho case</w:t>
            </w: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ADA3CC7" w14:textId="77777777" w:rsidR="00083156" w:rsidRDefault="00000000">
            <w:pPr>
              <w:spacing w:line="192" w:lineRule="auto"/>
              <w:jc w:val="center"/>
              <w:rPr>
                <w:sz w:val="20"/>
                <w:szCs w:val="20"/>
              </w:rPr>
            </w:pPr>
            <w:r>
              <w:rPr>
                <w:sz w:val="20"/>
                <w:szCs w:val="20"/>
              </w:rPr>
              <w:t xml:space="preserve">El caso Sancho </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15A8193" w14:textId="77777777" w:rsidR="00083156" w:rsidRDefault="00000000">
            <w:pPr>
              <w:spacing w:line="192" w:lineRule="auto"/>
              <w:jc w:val="center"/>
              <w:rPr>
                <w:sz w:val="20"/>
                <w:szCs w:val="20"/>
              </w:rPr>
            </w:pPr>
            <w:r>
              <w:rPr>
                <w:sz w:val="20"/>
                <w:szCs w:val="20"/>
              </w:rPr>
              <w:t>HBO Max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829B1BA"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29417CA" w14:textId="77777777" w:rsidR="00083156" w:rsidRDefault="00000000">
            <w:pPr>
              <w:spacing w:line="192" w:lineRule="auto"/>
              <w:jc w:val="center"/>
              <w:rPr>
                <w:sz w:val="20"/>
                <w:szCs w:val="20"/>
              </w:rPr>
            </w:pPr>
            <w:r>
              <w:rPr>
                <w:sz w:val="20"/>
                <w:szCs w:val="20"/>
              </w:rPr>
              <w:t>2024</w:t>
            </w:r>
          </w:p>
        </w:tc>
      </w:tr>
      <w:tr w:rsidR="00083156" w14:paraId="3D3ED43E" w14:textId="77777777">
        <w:tc>
          <w:tcPr>
            <w:tcW w:w="1141" w:type="dxa"/>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9F2F0E5" w14:textId="77777777" w:rsidR="00083156" w:rsidRDefault="00083156">
            <w:pPr>
              <w:pBdr>
                <w:top w:val="nil"/>
                <w:left w:val="nil"/>
                <w:bottom w:val="nil"/>
                <w:right w:val="nil"/>
                <w:between w:val="nil"/>
              </w:pBdr>
              <w:spacing w:line="276" w:lineRule="auto"/>
              <w:rPr>
                <w:sz w:val="20"/>
                <w:szCs w:val="20"/>
              </w:rPr>
            </w:pP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8105C74" w14:textId="77777777" w:rsidR="00083156" w:rsidRDefault="00000000">
            <w:pPr>
              <w:spacing w:line="192" w:lineRule="auto"/>
              <w:jc w:val="center"/>
              <w:rPr>
                <w:sz w:val="20"/>
                <w:szCs w:val="20"/>
              </w:rPr>
            </w:pPr>
            <w:r>
              <w:rPr>
                <w:sz w:val="20"/>
                <w:szCs w:val="20"/>
              </w:rPr>
              <w:t>Receta para un asesinato</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6B7B120" w14:textId="77777777" w:rsidR="00083156" w:rsidRDefault="00000000">
            <w:pPr>
              <w:spacing w:line="192" w:lineRule="auto"/>
              <w:jc w:val="center"/>
              <w:rPr>
                <w:sz w:val="20"/>
                <w:szCs w:val="20"/>
              </w:rPr>
            </w:pPr>
            <w:proofErr w:type="spellStart"/>
            <w:r>
              <w:rPr>
                <w:sz w:val="20"/>
                <w:szCs w:val="20"/>
              </w:rPr>
              <w:t>SkyShowtime</w:t>
            </w:r>
            <w:proofErr w:type="spellEnd"/>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012CA14"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BDF369B" w14:textId="77777777" w:rsidR="00083156" w:rsidRDefault="00000000">
            <w:pPr>
              <w:spacing w:line="192" w:lineRule="auto"/>
              <w:jc w:val="center"/>
              <w:rPr>
                <w:sz w:val="20"/>
                <w:szCs w:val="20"/>
              </w:rPr>
            </w:pPr>
            <w:r>
              <w:rPr>
                <w:sz w:val="20"/>
                <w:szCs w:val="20"/>
              </w:rPr>
              <w:t>2025</w:t>
            </w:r>
          </w:p>
        </w:tc>
      </w:tr>
      <w:tr w:rsidR="00083156" w14:paraId="401D5A0C" w14:textId="77777777">
        <w:tc>
          <w:tcPr>
            <w:tcW w:w="1141"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6112C9" w14:textId="22A461C2" w:rsidR="00083156" w:rsidRPr="00BD62E7" w:rsidRDefault="00BD62E7">
            <w:pPr>
              <w:spacing w:line="192" w:lineRule="auto"/>
              <w:jc w:val="center"/>
              <w:rPr>
                <w:sz w:val="20"/>
                <w:szCs w:val="20"/>
                <w:lang w:val="en-GB"/>
              </w:rPr>
            </w:pPr>
            <w:r w:rsidRPr="00BD62E7">
              <w:rPr>
                <w:sz w:val="20"/>
                <w:szCs w:val="20"/>
                <w:lang w:val="en-GB"/>
              </w:rPr>
              <w:t xml:space="preserve">Black Widow of </w:t>
            </w:r>
            <w:proofErr w:type="spellStart"/>
            <w:r w:rsidRPr="00BD62E7">
              <w:rPr>
                <w:sz w:val="20"/>
                <w:szCs w:val="20"/>
                <w:lang w:val="en-GB"/>
              </w:rPr>
              <w:t>Patraix</w:t>
            </w:r>
            <w:proofErr w:type="spellEnd"/>
            <w:r w:rsidRPr="00BD62E7">
              <w:rPr>
                <w:sz w:val="20"/>
                <w:szCs w:val="20"/>
                <w:lang w:val="en-GB"/>
              </w:rPr>
              <w:t xml:space="preserve"> case</w:t>
            </w: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D1A6EB4" w14:textId="77777777" w:rsidR="00083156" w:rsidRDefault="00000000">
            <w:pPr>
              <w:spacing w:line="192" w:lineRule="auto"/>
              <w:jc w:val="center"/>
              <w:rPr>
                <w:sz w:val="20"/>
                <w:szCs w:val="20"/>
              </w:rPr>
            </w:pPr>
            <w:r w:rsidRPr="00BD62E7">
              <w:rPr>
                <w:i/>
                <w:iCs/>
                <w:sz w:val="20"/>
                <w:szCs w:val="20"/>
              </w:rPr>
              <w:t>La viuda negra</w:t>
            </w:r>
            <w:r>
              <w:rPr>
                <w:sz w:val="20"/>
                <w:szCs w:val="20"/>
              </w:rPr>
              <w:t xml:space="preserve"> (Netflix, 2025)</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5A15C662" w14:textId="77777777" w:rsidR="00083156" w:rsidRDefault="00000000">
            <w:pPr>
              <w:spacing w:line="192" w:lineRule="auto"/>
              <w:jc w:val="center"/>
              <w:rPr>
                <w:sz w:val="20"/>
                <w:szCs w:val="20"/>
              </w:rPr>
            </w:pPr>
            <w:r>
              <w:rPr>
                <w:sz w:val="20"/>
                <w:szCs w:val="20"/>
              </w:rPr>
              <w:t>Netflix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0687306" w14:textId="77777777" w:rsidR="00083156" w:rsidRDefault="00000000">
            <w:pPr>
              <w:spacing w:line="192" w:lineRule="auto"/>
              <w:jc w:val="center"/>
              <w:rPr>
                <w:sz w:val="20"/>
                <w:szCs w:val="20"/>
              </w:rPr>
            </w:pPr>
            <w:proofErr w:type="spellStart"/>
            <w:r>
              <w:rPr>
                <w:sz w:val="20"/>
                <w:szCs w:val="20"/>
              </w:rPr>
              <w:t>Fiction</w:t>
            </w:r>
            <w:proofErr w:type="spellEnd"/>
            <w:r>
              <w:rPr>
                <w:sz w:val="20"/>
                <w:szCs w:val="20"/>
              </w:rPr>
              <w:t xml:space="preserve"> </w:t>
            </w:r>
            <w:proofErr w:type="gramStart"/>
            <w:r>
              <w:rPr>
                <w:sz w:val="20"/>
                <w:szCs w:val="20"/>
              </w:rPr>
              <w:t>film</w:t>
            </w:r>
            <w:proofErr w:type="gramEnd"/>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211635B" w14:textId="77777777" w:rsidR="00083156" w:rsidRDefault="00000000">
            <w:pPr>
              <w:spacing w:line="192" w:lineRule="auto"/>
              <w:jc w:val="center"/>
              <w:rPr>
                <w:sz w:val="20"/>
                <w:szCs w:val="20"/>
              </w:rPr>
            </w:pPr>
            <w:r>
              <w:rPr>
                <w:sz w:val="20"/>
                <w:szCs w:val="20"/>
              </w:rPr>
              <w:t>2025</w:t>
            </w:r>
          </w:p>
        </w:tc>
      </w:tr>
      <w:tr w:rsidR="00083156" w14:paraId="7C6B0428" w14:textId="77777777">
        <w:tc>
          <w:tcPr>
            <w:tcW w:w="1141" w:type="dxa"/>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1145CD8" w14:textId="77777777" w:rsidR="00083156" w:rsidRDefault="00083156">
            <w:pPr>
              <w:pBdr>
                <w:top w:val="nil"/>
                <w:left w:val="nil"/>
                <w:bottom w:val="nil"/>
                <w:right w:val="nil"/>
                <w:between w:val="nil"/>
              </w:pBdr>
              <w:spacing w:line="276" w:lineRule="auto"/>
              <w:rPr>
                <w:sz w:val="20"/>
                <w:szCs w:val="20"/>
              </w:rPr>
            </w:pP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53AA62E" w14:textId="77777777" w:rsidR="00083156" w:rsidRPr="00BD62E7" w:rsidRDefault="00000000">
            <w:pPr>
              <w:spacing w:line="192" w:lineRule="auto"/>
              <w:jc w:val="center"/>
              <w:rPr>
                <w:i/>
                <w:iCs/>
                <w:sz w:val="20"/>
                <w:szCs w:val="20"/>
              </w:rPr>
            </w:pPr>
            <w:r w:rsidRPr="00BD62E7">
              <w:rPr>
                <w:i/>
                <w:iCs/>
                <w:sz w:val="20"/>
                <w:szCs w:val="20"/>
              </w:rPr>
              <w:t>Una historia de crímenes</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6061923" w14:textId="77777777" w:rsidR="00083156" w:rsidRDefault="00000000">
            <w:pPr>
              <w:spacing w:line="192" w:lineRule="auto"/>
              <w:jc w:val="center"/>
              <w:rPr>
                <w:sz w:val="20"/>
                <w:szCs w:val="20"/>
              </w:rPr>
            </w:pPr>
            <w:r>
              <w:rPr>
                <w:sz w:val="20"/>
                <w:szCs w:val="20"/>
              </w:rPr>
              <w:t>Prime Video</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2FF392A"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series </w:t>
            </w:r>
            <w:proofErr w:type="spellStart"/>
            <w:r>
              <w:rPr>
                <w:sz w:val="20"/>
                <w:szCs w:val="20"/>
              </w:rPr>
              <w:t>episode</w:t>
            </w:r>
            <w:proofErr w:type="spellEnd"/>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440FE5C" w14:textId="77777777" w:rsidR="00083156" w:rsidRDefault="00000000">
            <w:pPr>
              <w:spacing w:line="192" w:lineRule="auto"/>
              <w:jc w:val="center"/>
              <w:rPr>
                <w:sz w:val="20"/>
                <w:szCs w:val="20"/>
              </w:rPr>
            </w:pPr>
            <w:r>
              <w:rPr>
                <w:sz w:val="20"/>
                <w:szCs w:val="20"/>
              </w:rPr>
              <w:t>2023</w:t>
            </w:r>
          </w:p>
        </w:tc>
      </w:tr>
      <w:tr w:rsidR="00083156" w14:paraId="51ACE833" w14:textId="77777777">
        <w:tc>
          <w:tcPr>
            <w:tcW w:w="1141"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08B72BC" w14:textId="5EE1D182" w:rsidR="00083156" w:rsidRDefault="00BD62E7">
            <w:pPr>
              <w:spacing w:line="192" w:lineRule="auto"/>
              <w:jc w:val="center"/>
              <w:rPr>
                <w:sz w:val="20"/>
                <w:szCs w:val="20"/>
              </w:rPr>
            </w:pPr>
            <w:r>
              <w:rPr>
                <w:sz w:val="20"/>
                <w:szCs w:val="20"/>
              </w:rPr>
              <w:t>T</w:t>
            </w:r>
            <w:r w:rsidRPr="00BD62E7">
              <w:rPr>
                <w:sz w:val="20"/>
                <w:szCs w:val="20"/>
              </w:rPr>
              <w:t xml:space="preserve">he </w:t>
            </w:r>
            <w:proofErr w:type="spellStart"/>
            <w:r w:rsidRPr="00BD62E7">
              <w:rPr>
                <w:sz w:val="20"/>
                <w:szCs w:val="20"/>
              </w:rPr>
              <w:t>Alcàsser</w:t>
            </w:r>
            <w:proofErr w:type="spellEnd"/>
            <w:r w:rsidRPr="00BD62E7">
              <w:rPr>
                <w:sz w:val="20"/>
                <w:szCs w:val="20"/>
              </w:rPr>
              <w:t xml:space="preserve"> </w:t>
            </w:r>
            <w:proofErr w:type="spellStart"/>
            <w:r w:rsidRPr="00BD62E7">
              <w:rPr>
                <w:sz w:val="20"/>
                <w:szCs w:val="20"/>
              </w:rPr>
              <w:t>Girls</w:t>
            </w:r>
            <w:proofErr w:type="spellEnd"/>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0BD680A" w14:textId="77777777" w:rsidR="00083156" w:rsidRPr="00BD62E7" w:rsidRDefault="00000000">
            <w:pPr>
              <w:spacing w:line="192" w:lineRule="auto"/>
              <w:jc w:val="center"/>
              <w:rPr>
                <w:i/>
                <w:iCs/>
                <w:sz w:val="20"/>
                <w:szCs w:val="20"/>
              </w:rPr>
            </w:pPr>
            <w:r w:rsidRPr="00BD62E7">
              <w:rPr>
                <w:i/>
                <w:iCs/>
                <w:sz w:val="20"/>
                <w:szCs w:val="20"/>
              </w:rPr>
              <w:t xml:space="preserve">El caso </w:t>
            </w:r>
            <w:proofErr w:type="spellStart"/>
            <w:r w:rsidRPr="00BD62E7">
              <w:rPr>
                <w:i/>
                <w:iCs/>
                <w:sz w:val="20"/>
                <w:szCs w:val="20"/>
              </w:rPr>
              <w:t>Alcàsser</w:t>
            </w:r>
            <w:proofErr w:type="spellEnd"/>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D4D4E5B" w14:textId="77777777" w:rsidR="00083156" w:rsidRDefault="00000000">
            <w:pPr>
              <w:spacing w:line="192" w:lineRule="auto"/>
              <w:jc w:val="center"/>
              <w:rPr>
                <w:sz w:val="20"/>
                <w:szCs w:val="20"/>
              </w:rPr>
            </w:pPr>
            <w:r>
              <w:rPr>
                <w:sz w:val="20"/>
                <w:szCs w:val="20"/>
              </w:rPr>
              <w:t>Netflix</w:t>
            </w:r>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9C3C351"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3628AE21" w14:textId="77777777" w:rsidR="00083156" w:rsidRDefault="00000000">
            <w:pPr>
              <w:spacing w:line="192" w:lineRule="auto"/>
              <w:jc w:val="center"/>
              <w:rPr>
                <w:sz w:val="20"/>
                <w:szCs w:val="20"/>
              </w:rPr>
            </w:pPr>
            <w:r>
              <w:rPr>
                <w:sz w:val="20"/>
                <w:szCs w:val="20"/>
              </w:rPr>
              <w:t>2019</w:t>
            </w:r>
          </w:p>
        </w:tc>
      </w:tr>
      <w:tr w:rsidR="00083156" w14:paraId="2FEC1154" w14:textId="77777777">
        <w:tc>
          <w:tcPr>
            <w:tcW w:w="1141" w:type="dxa"/>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154DFEA" w14:textId="77777777" w:rsidR="00083156" w:rsidRDefault="00083156">
            <w:pPr>
              <w:pBdr>
                <w:top w:val="nil"/>
                <w:left w:val="nil"/>
                <w:bottom w:val="nil"/>
                <w:right w:val="nil"/>
                <w:between w:val="nil"/>
              </w:pBdr>
              <w:spacing w:line="276" w:lineRule="auto"/>
              <w:rPr>
                <w:sz w:val="20"/>
                <w:szCs w:val="20"/>
              </w:rPr>
            </w:pPr>
          </w:p>
        </w:tc>
        <w:tc>
          <w:tcPr>
            <w:tcW w:w="22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601F09B8" w14:textId="77777777" w:rsidR="00083156" w:rsidRPr="00BD62E7" w:rsidRDefault="00000000">
            <w:pPr>
              <w:spacing w:line="192" w:lineRule="auto"/>
              <w:jc w:val="center"/>
              <w:rPr>
                <w:i/>
                <w:iCs/>
                <w:sz w:val="20"/>
                <w:szCs w:val="20"/>
              </w:rPr>
            </w:pPr>
            <w:proofErr w:type="spellStart"/>
            <w:r w:rsidRPr="00BD62E7">
              <w:rPr>
                <w:i/>
                <w:iCs/>
                <w:sz w:val="20"/>
                <w:szCs w:val="20"/>
              </w:rPr>
              <w:t>Anglés</w:t>
            </w:r>
            <w:proofErr w:type="spellEnd"/>
            <w:r w:rsidRPr="00BD62E7">
              <w:rPr>
                <w:i/>
                <w:iCs/>
                <w:sz w:val="20"/>
                <w:szCs w:val="20"/>
              </w:rPr>
              <w:t xml:space="preserve">: Historia de una fuga </w:t>
            </w:r>
          </w:p>
        </w:tc>
        <w:tc>
          <w:tcPr>
            <w:tcW w:w="11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1C4BF79" w14:textId="77777777" w:rsidR="00083156" w:rsidRDefault="00000000">
            <w:pPr>
              <w:spacing w:line="192" w:lineRule="auto"/>
              <w:jc w:val="center"/>
              <w:rPr>
                <w:sz w:val="20"/>
                <w:szCs w:val="20"/>
              </w:rPr>
            </w:pPr>
            <w:proofErr w:type="spellStart"/>
            <w:r>
              <w:rPr>
                <w:sz w:val="20"/>
                <w:szCs w:val="20"/>
              </w:rPr>
              <w:t>Atresplayer</w:t>
            </w:r>
            <w:proofErr w:type="spellEnd"/>
          </w:p>
        </w:tc>
        <w:tc>
          <w:tcPr>
            <w:tcW w:w="135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3F24074" w14:textId="77777777" w:rsidR="00083156" w:rsidRDefault="00000000">
            <w:pPr>
              <w:spacing w:line="192" w:lineRule="auto"/>
              <w:jc w:val="center"/>
              <w:rPr>
                <w:sz w:val="20"/>
                <w:szCs w:val="20"/>
              </w:rPr>
            </w:pPr>
            <w:proofErr w:type="spellStart"/>
            <w:r>
              <w:rPr>
                <w:sz w:val="20"/>
                <w:szCs w:val="20"/>
              </w:rPr>
              <w:t>Documentary</w:t>
            </w:r>
            <w:proofErr w:type="spellEnd"/>
            <w:r>
              <w:rPr>
                <w:sz w:val="20"/>
                <w:szCs w:val="20"/>
              </w:rPr>
              <w:t xml:space="preserve"> miniseries</w:t>
            </w:r>
          </w:p>
        </w:tc>
        <w:tc>
          <w:tcPr>
            <w:tcW w:w="9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4F9F5E28" w14:textId="77777777" w:rsidR="00083156" w:rsidRDefault="00000000">
            <w:pPr>
              <w:spacing w:line="192" w:lineRule="auto"/>
              <w:jc w:val="center"/>
              <w:rPr>
                <w:sz w:val="20"/>
                <w:szCs w:val="20"/>
              </w:rPr>
            </w:pPr>
            <w:r>
              <w:rPr>
                <w:sz w:val="20"/>
                <w:szCs w:val="20"/>
              </w:rPr>
              <w:t>2023</w:t>
            </w:r>
          </w:p>
        </w:tc>
      </w:tr>
    </w:tbl>
    <w:p w14:paraId="0E619378" w14:textId="77777777" w:rsidR="00083156" w:rsidRDefault="00000000">
      <w:pPr>
        <w:widowControl/>
        <w:pBdr>
          <w:top w:val="nil"/>
          <w:left w:val="nil"/>
          <w:bottom w:val="nil"/>
          <w:right w:val="nil"/>
          <w:between w:val="nil"/>
        </w:pBdr>
        <w:spacing w:after="80"/>
        <w:ind w:left="426" w:right="370"/>
        <w:jc w:val="center"/>
        <w:rPr>
          <w:color w:val="231F20"/>
          <w:sz w:val="20"/>
          <w:szCs w:val="20"/>
        </w:rPr>
      </w:pPr>
      <w:proofErr w:type="spellStart"/>
      <w:r>
        <w:rPr>
          <w:color w:val="231F20"/>
          <w:sz w:val="20"/>
          <w:szCs w:val="20"/>
        </w:rPr>
        <w:t>Source</w:t>
      </w:r>
      <w:proofErr w:type="spellEnd"/>
      <w:r>
        <w:rPr>
          <w:color w:val="231F20"/>
          <w:sz w:val="20"/>
          <w:szCs w:val="20"/>
        </w:rPr>
        <w:t xml:space="preserve">: </w:t>
      </w:r>
      <w:proofErr w:type="spellStart"/>
      <w:r>
        <w:rPr>
          <w:color w:val="231F20"/>
          <w:sz w:val="20"/>
          <w:szCs w:val="20"/>
        </w:rPr>
        <w:t>Authors</w:t>
      </w:r>
      <w:proofErr w:type="spellEnd"/>
    </w:p>
    <w:p w14:paraId="50630ECD" w14:textId="77777777" w:rsidR="00083156" w:rsidRDefault="00083156">
      <w:pPr>
        <w:widowControl/>
        <w:pBdr>
          <w:top w:val="nil"/>
          <w:left w:val="nil"/>
          <w:bottom w:val="nil"/>
          <w:right w:val="nil"/>
          <w:between w:val="nil"/>
        </w:pBdr>
        <w:spacing w:after="80"/>
        <w:ind w:left="426" w:right="370"/>
        <w:rPr>
          <w:color w:val="231F20"/>
          <w:sz w:val="20"/>
          <w:szCs w:val="20"/>
        </w:rPr>
      </w:pPr>
    </w:p>
    <w:p w14:paraId="033BAEC2"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This recurrence does not seem to respond solely to chance, but rather to a combination of narrative and commercial factors: the original media impact of the case, the moral or emotional complexity of the events, or the presence of public figures and ambiguous characters. Many of these stories can be revisited from different genres or perspectives, which explains their narrative resilience within the platform ecosystem. In this sense, repetition functions both as a formula for success and as a mechanism for rereading, reinterpretation or even symbolic repair.</w:t>
      </w:r>
    </w:p>
    <w:p w14:paraId="23AC0B9D"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In addition, strategies of narrative transversality can be identified on the part of the platforms themselves. In some cases, the same streaming service releases two productions about the same event within a very short </w:t>
      </w:r>
      <w:proofErr w:type="gramStart"/>
      <w:r w:rsidRPr="00BD62E7">
        <w:rPr>
          <w:color w:val="231F20"/>
          <w:sz w:val="20"/>
          <w:szCs w:val="20"/>
          <w:lang w:val="en-GB"/>
        </w:rPr>
        <w:t>period of time</w:t>
      </w:r>
      <w:proofErr w:type="gramEnd"/>
      <w:r w:rsidRPr="00BD62E7">
        <w:rPr>
          <w:color w:val="231F20"/>
          <w:sz w:val="20"/>
          <w:szCs w:val="20"/>
          <w:lang w:val="en-GB"/>
        </w:rPr>
        <w:t xml:space="preserve">. This is the case of Netflix, which premiered </w:t>
      </w:r>
      <w:r w:rsidRPr="00BD62E7">
        <w:rPr>
          <w:i/>
          <w:iCs/>
          <w:color w:val="231F20"/>
          <w:sz w:val="20"/>
          <w:szCs w:val="20"/>
          <w:lang w:val="en-GB"/>
        </w:rPr>
        <w:t xml:space="preserve">El </w:t>
      </w:r>
      <w:proofErr w:type="spellStart"/>
      <w:r w:rsidRPr="00BD62E7">
        <w:rPr>
          <w:i/>
          <w:iCs/>
          <w:color w:val="231F20"/>
          <w:sz w:val="20"/>
          <w:szCs w:val="20"/>
          <w:lang w:val="en-GB"/>
        </w:rPr>
        <w:t>cuerpo</w:t>
      </w:r>
      <w:proofErr w:type="spellEnd"/>
      <w:r w:rsidRPr="00BD62E7">
        <w:rPr>
          <w:i/>
          <w:iCs/>
          <w:color w:val="231F20"/>
          <w:sz w:val="20"/>
          <w:szCs w:val="20"/>
          <w:lang w:val="en-GB"/>
        </w:rPr>
        <w:t xml:space="preserve"> </w:t>
      </w:r>
      <w:proofErr w:type="spellStart"/>
      <w:r w:rsidRPr="00BD62E7">
        <w:rPr>
          <w:i/>
          <w:iCs/>
          <w:color w:val="231F20"/>
          <w:sz w:val="20"/>
          <w:szCs w:val="20"/>
          <w:lang w:val="en-GB"/>
        </w:rPr>
        <w:t>en</w:t>
      </w:r>
      <w:proofErr w:type="spellEnd"/>
      <w:r w:rsidRPr="00BD62E7">
        <w:rPr>
          <w:i/>
          <w:iCs/>
          <w:color w:val="231F20"/>
          <w:sz w:val="20"/>
          <w:szCs w:val="20"/>
          <w:lang w:val="en-GB"/>
        </w:rPr>
        <w:t xml:space="preserve"> llamas</w:t>
      </w:r>
      <w:r w:rsidRPr="00BD62E7">
        <w:rPr>
          <w:color w:val="231F20"/>
          <w:sz w:val="20"/>
          <w:szCs w:val="20"/>
          <w:lang w:val="en-GB"/>
        </w:rPr>
        <w:t xml:space="preserve"> (2023), a fiction series about the Guardia Urbana crime, and days later the documentary </w:t>
      </w:r>
      <w:r w:rsidRPr="00BD62E7">
        <w:rPr>
          <w:i/>
          <w:iCs/>
          <w:color w:val="231F20"/>
          <w:sz w:val="20"/>
          <w:szCs w:val="20"/>
          <w:lang w:val="en-GB"/>
        </w:rPr>
        <w:t xml:space="preserve">Las </w:t>
      </w:r>
      <w:proofErr w:type="spellStart"/>
      <w:r w:rsidRPr="00BD62E7">
        <w:rPr>
          <w:i/>
          <w:iCs/>
          <w:color w:val="231F20"/>
          <w:sz w:val="20"/>
          <w:szCs w:val="20"/>
          <w:lang w:val="en-GB"/>
        </w:rPr>
        <w:t>cintas</w:t>
      </w:r>
      <w:proofErr w:type="spellEnd"/>
      <w:r w:rsidRPr="00BD62E7">
        <w:rPr>
          <w:i/>
          <w:iCs/>
          <w:color w:val="231F20"/>
          <w:sz w:val="20"/>
          <w:szCs w:val="20"/>
          <w:lang w:val="en-GB"/>
        </w:rPr>
        <w:t xml:space="preserve"> de Rosa Peral (</w:t>
      </w:r>
      <w:r w:rsidRPr="00BD62E7">
        <w:rPr>
          <w:color w:val="231F20"/>
          <w:sz w:val="20"/>
          <w:szCs w:val="20"/>
          <w:lang w:val="en-GB"/>
        </w:rPr>
        <w:t xml:space="preserve">2023). </w:t>
      </w:r>
      <w:proofErr w:type="gramStart"/>
      <w:r w:rsidRPr="00BD62E7">
        <w:rPr>
          <w:color w:val="231F20"/>
          <w:sz w:val="20"/>
          <w:szCs w:val="20"/>
          <w:lang w:val="en-GB"/>
        </w:rPr>
        <w:t>Also</w:t>
      </w:r>
      <w:proofErr w:type="gramEnd"/>
      <w:r w:rsidRPr="00BD62E7">
        <w:rPr>
          <w:color w:val="231F20"/>
          <w:sz w:val="20"/>
          <w:szCs w:val="20"/>
          <w:lang w:val="en-GB"/>
        </w:rPr>
        <w:t xml:space="preserve"> on Netflix we find the documentary miniseries </w:t>
      </w:r>
      <w:r w:rsidRPr="00BD62E7">
        <w:rPr>
          <w:i/>
          <w:iCs/>
          <w:color w:val="231F20"/>
          <w:sz w:val="20"/>
          <w:szCs w:val="20"/>
          <w:lang w:val="en-GB"/>
        </w:rPr>
        <w:t xml:space="preserve">El </w:t>
      </w:r>
      <w:proofErr w:type="spellStart"/>
      <w:r w:rsidRPr="00BD62E7">
        <w:rPr>
          <w:i/>
          <w:iCs/>
          <w:color w:val="231F20"/>
          <w:sz w:val="20"/>
          <w:szCs w:val="20"/>
          <w:lang w:val="en-GB"/>
        </w:rPr>
        <w:t>caso</w:t>
      </w:r>
      <w:proofErr w:type="spellEnd"/>
      <w:r w:rsidRPr="00BD62E7">
        <w:rPr>
          <w:i/>
          <w:iCs/>
          <w:color w:val="231F20"/>
          <w:sz w:val="20"/>
          <w:szCs w:val="20"/>
          <w:lang w:val="en-GB"/>
        </w:rPr>
        <w:t xml:space="preserve"> Asunta: </w:t>
      </w:r>
      <w:proofErr w:type="spellStart"/>
      <w:r w:rsidRPr="00BD62E7">
        <w:rPr>
          <w:i/>
          <w:iCs/>
          <w:color w:val="231F20"/>
          <w:sz w:val="20"/>
          <w:szCs w:val="20"/>
          <w:lang w:val="en-GB"/>
        </w:rPr>
        <w:t>Operación</w:t>
      </w:r>
      <w:proofErr w:type="spellEnd"/>
      <w:r w:rsidRPr="00BD62E7">
        <w:rPr>
          <w:i/>
          <w:iCs/>
          <w:color w:val="231F20"/>
          <w:sz w:val="20"/>
          <w:szCs w:val="20"/>
          <w:lang w:val="en-GB"/>
        </w:rPr>
        <w:t xml:space="preserve"> </w:t>
      </w:r>
      <w:proofErr w:type="spellStart"/>
      <w:r w:rsidRPr="00BD62E7">
        <w:rPr>
          <w:i/>
          <w:iCs/>
          <w:color w:val="231F20"/>
          <w:sz w:val="20"/>
          <w:szCs w:val="20"/>
          <w:lang w:val="en-GB"/>
        </w:rPr>
        <w:t>Nenúfar</w:t>
      </w:r>
      <w:proofErr w:type="spellEnd"/>
      <w:r w:rsidRPr="00BD62E7">
        <w:rPr>
          <w:color w:val="231F20"/>
          <w:sz w:val="20"/>
          <w:szCs w:val="20"/>
          <w:lang w:val="en-GB"/>
        </w:rPr>
        <w:t xml:space="preserve"> (2017) and, years later, the fiction series </w:t>
      </w:r>
      <w:r w:rsidRPr="00BD62E7">
        <w:rPr>
          <w:i/>
          <w:iCs/>
          <w:color w:val="231F20"/>
          <w:sz w:val="20"/>
          <w:szCs w:val="20"/>
          <w:lang w:val="en-GB"/>
        </w:rPr>
        <w:t xml:space="preserve">El </w:t>
      </w:r>
      <w:proofErr w:type="spellStart"/>
      <w:r w:rsidRPr="00BD62E7">
        <w:rPr>
          <w:i/>
          <w:iCs/>
          <w:color w:val="231F20"/>
          <w:sz w:val="20"/>
          <w:szCs w:val="20"/>
          <w:lang w:val="en-GB"/>
        </w:rPr>
        <w:t>caso</w:t>
      </w:r>
      <w:proofErr w:type="spellEnd"/>
      <w:r w:rsidRPr="00BD62E7">
        <w:rPr>
          <w:i/>
          <w:iCs/>
          <w:color w:val="231F20"/>
          <w:sz w:val="20"/>
          <w:szCs w:val="20"/>
          <w:lang w:val="en-GB"/>
        </w:rPr>
        <w:t xml:space="preserve"> Asunta</w:t>
      </w:r>
      <w:r w:rsidRPr="00BD62E7">
        <w:rPr>
          <w:color w:val="231F20"/>
          <w:sz w:val="20"/>
          <w:szCs w:val="20"/>
          <w:lang w:val="en-GB"/>
        </w:rPr>
        <w:t xml:space="preserve"> (2023). Added to this is competition between the platforms themselves, as in the case of </w:t>
      </w:r>
      <w:r w:rsidRPr="00BD62E7">
        <w:rPr>
          <w:i/>
          <w:iCs/>
          <w:color w:val="231F20"/>
          <w:sz w:val="20"/>
          <w:szCs w:val="20"/>
          <w:lang w:val="en-GB"/>
        </w:rPr>
        <w:t xml:space="preserve">El </w:t>
      </w:r>
      <w:proofErr w:type="spellStart"/>
      <w:r w:rsidRPr="00BD62E7">
        <w:rPr>
          <w:i/>
          <w:iCs/>
          <w:color w:val="231F20"/>
          <w:sz w:val="20"/>
          <w:szCs w:val="20"/>
          <w:lang w:val="en-GB"/>
        </w:rPr>
        <w:t>caso</w:t>
      </w:r>
      <w:proofErr w:type="spellEnd"/>
      <w:r w:rsidRPr="00BD62E7">
        <w:rPr>
          <w:i/>
          <w:iCs/>
          <w:color w:val="231F20"/>
          <w:sz w:val="20"/>
          <w:szCs w:val="20"/>
          <w:lang w:val="en-GB"/>
        </w:rPr>
        <w:t xml:space="preserve"> </w:t>
      </w:r>
      <w:proofErr w:type="spellStart"/>
      <w:r w:rsidRPr="00BD62E7">
        <w:rPr>
          <w:i/>
          <w:iCs/>
          <w:color w:val="231F20"/>
          <w:sz w:val="20"/>
          <w:szCs w:val="20"/>
          <w:lang w:val="en-GB"/>
        </w:rPr>
        <w:t>Wanninkhof</w:t>
      </w:r>
      <w:proofErr w:type="spellEnd"/>
      <w:r w:rsidRPr="00BD62E7">
        <w:rPr>
          <w:rFonts w:ascii="Cambria Math" w:eastAsia="Cambria Math" w:hAnsi="Cambria Math" w:cs="Cambria Math"/>
          <w:i/>
          <w:iCs/>
          <w:color w:val="231F20"/>
          <w:sz w:val="20"/>
          <w:szCs w:val="20"/>
          <w:lang w:val="en-GB"/>
        </w:rPr>
        <w:t>‑</w:t>
      </w:r>
      <w:r w:rsidRPr="00BD62E7">
        <w:rPr>
          <w:i/>
          <w:iCs/>
          <w:color w:val="231F20"/>
          <w:sz w:val="20"/>
          <w:szCs w:val="20"/>
          <w:lang w:val="en-GB"/>
        </w:rPr>
        <w:t xml:space="preserve">Carabantes </w:t>
      </w:r>
      <w:r w:rsidRPr="00BD62E7">
        <w:rPr>
          <w:color w:val="231F20"/>
          <w:sz w:val="20"/>
          <w:szCs w:val="20"/>
          <w:lang w:val="en-GB"/>
        </w:rPr>
        <w:t xml:space="preserve">(Netflix, 2021) and </w:t>
      </w:r>
      <w:r w:rsidRPr="00BD62E7">
        <w:rPr>
          <w:i/>
          <w:iCs/>
          <w:color w:val="231F20"/>
          <w:sz w:val="20"/>
          <w:szCs w:val="20"/>
          <w:lang w:val="en-GB"/>
        </w:rPr>
        <w:t xml:space="preserve">Dolores: La </w:t>
      </w:r>
      <w:proofErr w:type="spellStart"/>
      <w:r w:rsidRPr="00BD62E7">
        <w:rPr>
          <w:i/>
          <w:iCs/>
          <w:color w:val="231F20"/>
          <w:sz w:val="20"/>
          <w:szCs w:val="20"/>
          <w:lang w:val="en-GB"/>
        </w:rPr>
        <w:t>verdad</w:t>
      </w:r>
      <w:proofErr w:type="spellEnd"/>
      <w:r w:rsidRPr="00BD62E7">
        <w:rPr>
          <w:i/>
          <w:iCs/>
          <w:color w:val="231F20"/>
          <w:sz w:val="20"/>
          <w:szCs w:val="20"/>
          <w:lang w:val="en-GB"/>
        </w:rPr>
        <w:t xml:space="preserve"> </w:t>
      </w:r>
      <w:proofErr w:type="spellStart"/>
      <w:r w:rsidRPr="00BD62E7">
        <w:rPr>
          <w:i/>
          <w:iCs/>
          <w:color w:val="231F20"/>
          <w:sz w:val="20"/>
          <w:szCs w:val="20"/>
          <w:lang w:val="en-GB"/>
        </w:rPr>
        <w:t>sobre</w:t>
      </w:r>
      <w:proofErr w:type="spellEnd"/>
      <w:r w:rsidRPr="00BD62E7">
        <w:rPr>
          <w:i/>
          <w:iCs/>
          <w:color w:val="231F20"/>
          <w:sz w:val="20"/>
          <w:szCs w:val="20"/>
          <w:lang w:val="en-GB"/>
        </w:rPr>
        <w:t xml:space="preserve"> </w:t>
      </w:r>
      <w:proofErr w:type="spellStart"/>
      <w:r w:rsidRPr="00BD62E7">
        <w:rPr>
          <w:i/>
          <w:iCs/>
          <w:color w:val="231F20"/>
          <w:sz w:val="20"/>
          <w:szCs w:val="20"/>
          <w:lang w:val="en-GB"/>
        </w:rPr>
        <w:t>el</w:t>
      </w:r>
      <w:proofErr w:type="spellEnd"/>
      <w:r w:rsidRPr="00BD62E7">
        <w:rPr>
          <w:i/>
          <w:iCs/>
          <w:color w:val="231F20"/>
          <w:sz w:val="20"/>
          <w:szCs w:val="20"/>
          <w:lang w:val="en-GB"/>
        </w:rPr>
        <w:t xml:space="preserve"> Caso </w:t>
      </w:r>
      <w:proofErr w:type="spellStart"/>
      <w:r w:rsidRPr="00BD62E7">
        <w:rPr>
          <w:i/>
          <w:iCs/>
          <w:color w:val="231F20"/>
          <w:sz w:val="20"/>
          <w:szCs w:val="20"/>
          <w:lang w:val="en-GB"/>
        </w:rPr>
        <w:t>Wanninkhof</w:t>
      </w:r>
      <w:proofErr w:type="spellEnd"/>
      <w:r w:rsidRPr="00BD62E7">
        <w:rPr>
          <w:color w:val="231F20"/>
          <w:sz w:val="20"/>
          <w:szCs w:val="20"/>
          <w:lang w:val="en-GB"/>
        </w:rPr>
        <w:t xml:space="preserve"> (HBO Max, 2021), both released in the same year. These dynamics reveal a willingness to deepen, amplify and diversify the perspectives on cases already consolidated in the public sphere.</w:t>
      </w:r>
    </w:p>
    <w:p w14:paraId="1A46564A" w14:textId="77777777" w:rsidR="00083156" w:rsidRPr="00BD62E7" w:rsidRDefault="00083156">
      <w:pPr>
        <w:widowControl/>
        <w:pBdr>
          <w:top w:val="nil"/>
          <w:left w:val="nil"/>
          <w:bottom w:val="nil"/>
          <w:right w:val="nil"/>
          <w:between w:val="nil"/>
        </w:pBdr>
        <w:spacing w:after="80"/>
        <w:ind w:left="426" w:right="370"/>
        <w:jc w:val="both"/>
        <w:rPr>
          <w:color w:val="231F20"/>
          <w:sz w:val="20"/>
          <w:szCs w:val="20"/>
          <w:lang w:val="en-GB"/>
        </w:rPr>
      </w:pPr>
    </w:p>
    <w:p w14:paraId="17690D9B" w14:textId="77777777" w:rsidR="00083156" w:rsidRPr="00BD62E7" w:rsidRDefault="00000000">
      <w:pPr>
        <w:pStyle w:val="Ttulo1"/>
        <w:widowControl/>
        <w:spacing w:after="80"/>
        <w:ind w:left="426"/>
        <w:rPr>
          <w:rFonts w:ascii="Garamond" w:eastAsia="Garamond" w:hAnsi="Garamond" w:cs="Garamond"/>
          <w:i/>
          <w:iCs/>
          <w:color w:val="98361E"/>
          <w:lang w:val="en-GB"/>
        </w:rPr>
      </w:pPr>
      <w:r w:rsidRPr="00BD62E7">
        <w:rPr>
          <w:rFonts w:ascii="Garamond" w:eastAsia="Garamond" w:hAnsi="Garamond" w:cs="Garamond"/>
          <w:i/>
          <w:iCs/>
          <w:color w:val="98361E"/>
          <w:lang w:val="en-GB"/>
        </w:rPr>
        <w:t>4.3. Protagonism and gender representation</w:t>
      </w:r>
    </w:p>
    <w:p w14:paraId="343BBA0B" w14:textId="77777777" w:rsidR="00083156" w:rsidRPr="00BD62E7" w:rsidRDefault="00000000">
      <w:pPr>
        <w:widowControl/>
        <w:spacing w:after="80"/>
        <w:ind w:left="426" w:right="370"/>
        <w:jc w:val="both"/>
        <w:rPr>
          <w:color w:val="231F20"/>
          <w:sz w:val="20"/>
          <w:szCs w:val="20"/>
          <w:lang w:val="en-GB"/>
        </w:rPr>
      </w:pPr>
      <w:proofErr w:type="gramStart"/>
      <w:r w:rsidRPr="00BD62E7">
        <w:rPr>
          <w:color w:val="231F20"/>
          <w:sz w:val="20"/>
          <w:szCs w:val="20"/>
          <w:lang w:val="en-GB"/>
        </w:rPr>
        <w:lastRenderedPageBreak/>
        <w:t>With regard to</w:t>
      </w:r>
      <w:proofErr w:type="gramEnd"/>
      <w:r w:rsidRPr="00BD62E7">
        <w:rPr>
          <w:color w:val="231F20"/>
          <w:sz w:val="20"/>
          <w:szCs w:val="20"/>
          <w:lang w:val="en-GB"/>
        </w:rPr>
        <w:t xml:space="preserve"> the analysis of the narrative role assumed by the protagonists, it is revealed that in most cases the productions place the perpetrators of the crime at the centre of the story. Specifically, 16 titles are led by killers, either as confessed subjects, convicted individuals, or portrayed through a narrative of criminal reconstruction. This approach is present in titles such as </w:t>
      </w:r>
      <w:r w:rsidRPr="00BD62E7">
        <w:rPr>
          <w:i/>
          <w:iCs/>
          <w:color w:val="231F20"/>
          <w:sz w:val="20"/>
          <w:szCs w:val="20"/>
          <w:lang w:val="en-GB"/>
        </w:rPr>
        <w:t xml:space="preserve">Muerte </w:t>
      </w:r>
      <w:proofErr w:type="spellStart"/>
      <w:r w:rsidRPr="00BD62E7">
        <w:rPr>
          <w:i/>
          <w:iCs/>
          <w:color w:val="231F20"/>
          <w:sz w:val="20"/>
          <w:szCs w:val="20"/>
          <w:lang w:val="en-GB"/>
        </w:rPr>
        <w:t>en</w:t>
      </w:r>
      <w:proofErr w:type="spellEnd"/>
      <w:r w:rsidRPr="00BD62E7">
        <w:rPr>
          <w:i/>
          <w:iCs/>
          <w:color w:val="231F20"/>
          <w:sz w:val="20"/>
          <w:szCs w:val="20"/>
          <w:lang w:val="en-GB"/>
        </w:rPr>
        <w:t xml:space="preserve"> León</w:t>
      </w:r>
      <w:r w:rsidRPr="00BD62E7">
        <w:rPr>
          <w:color w:val="231F20"/>
          <w:sz w:val="20"/>
          <w:szCs w:val="20"/>
          <w:lang w:val="en-GB"/>
        </w:rPr>
        <w:t xml:space="preserve"> (Movistar+, 2016) and its sequel </w:t>
      </w:r>
      <w:r w:rsidRPr="00BD62E7">
        <w:rPr>
          <w:i/>
          <w:iCs/>
          <w:color w:val="231F20"/>
          <w:sz w:val="20"/>
          <w:szCs w:val="20"/>
          <w:lang w:val="en-GB"/>
        </w:rPr>
        <w:t xml:space="preserve">Muerte </w:t>
      </w:r>
      <w:proofErr w:type="spellStart"/>
      <w:r w:rsidRPr="00BD62E7">
        <w:rPr>
          <w:i/>
          <w:iCs/>
          <w:color w:val="231F20"/>
          <w:sz w:val="20"/>
          <w:szCs w:val="20"/>
          <w:lang w:val="en-GB"/>
        </w:rPr>
        <w:t>en</w:t>
      </w:r>
      <w:proofErr w:type="spellEnd"/>
      <w:r w:rsidRPr="00BD62E7">
        <w:rPr>
          <w:i/>
          <w:iCs/>
          <w:color w:val="231F20"/>
          <w:sz w:val="20"/>
          <w:szCs w:val="20"/>
          <w:lang w:val="en-GB"/>
        </w:rPr>
        <w:t xml:space="preserve"> León: Caso </w:t>
      </w:r>
      <w:proofErr w:type="spellStart"/>
      <w:r w:rsidRPr="00BD62E7">
        <w:rPr>
          <w:i/>
          <w:iCs/>
          <w:color w:val="231F20"/>
          <w:sz w:val="20"/>
          <w:szCs w:val="20"/>
          <w:lang w:val="en-GB"/>
        </w:rPr>
        <w:t>cerrado</w:t>
      </w:r>
      <w:proofErr w:type="spellEnd"/>
      <w:r w:rsidRPr="00BD62E7">
        <w:rPr>
          <w:color w:val="231F20"/>
          <w:sz w:val="20"/>
          <w:szCs w:val="20"/>
          <w:lang w:val="en-GB"/>
        </w:rPr>
        <w:t xml:space="preserve"> (HBO Max, 2019), centred on the Isabel Carrasco case, or in the Guardia Urbana crime, addressed from different perspectives in </w:t>
      </w:r>
      <w:r w:rsidRPr="00BD62E7">
        <w:rPr>
          <w:i/>
          <w:iCs/>
          <w:color w:val="231F20"/>
          <w:sz w:val="20"/>
          <w:szCs w:val="20"/>
          <w:lang w:val="en-GB"/>
        </w:rPr>
        <w:t xml:space="preserve">El crimen de la Guardia Urbana </w:t>
      </w:r>
      <w:r w:rsidRPr="00BD62E7">
        <w:rPr>
          <w:color w:val="231F20"/>
          <w:sz w:val="20"/>
          <w:szCs w:val="20"/>
          <w:lang w:val="en-GB"/>
        </w:rPr>
        <w:t xml:space="preserve">(Movistar+, 2021), </w:t>
      </w:r>
      <w:r w:rsidRPr="00BD62E7">
        <w:rPr>
          <w:i/>
          <w:iCs/>
          <w:color w:val="231F20"/>
          <w:sz w:val="20"/>
          <w:szCs w:val="20"/>
          <w:lang w:val="en-GB"/>
        </w:rPr>
        <w:t xml:space="preserve">El </w:t>
      </w:r>
      <w:proofErr w:type="spellStart"/>
      <w:r w:rsidRPr="00BD62E7">
        <w:rPr>
          <w:i/>
          <w:iCs/>
          <w:color w:val="231F20"/>
          <w:sz w:val="20"/>
          <w:szCs w:val="20"/>
          <w:lang w:val="en-GB"/>
        </w:rPr>
        <w:t>cuerpo</w:t>
      </w:r>
      <w:proofErr w:type="spellEnd"/>
      <w:r w:rsidRPr="00BD62E7">
        <w:rPr>
          <w:i/>
          <w:iCs/>
          <w:color w:val="231F20"/>
          <w:sz w:val="20"/>
          <w:szCs w:val="20"/>
          <w:lang w:val="en-GB"/>
        </w:rPr>
        <w:t xml:space="preserve"> </w:t>
      </w:r>
      <w:proofErr w:type="spellStart"/>
      <w:r w:rsidRPr="00BD62E7">
        <w:rPr>
          <w:i/>
          <w:iCs/>
          <w:color w:val="231F20"/>
          <w:sz w:val="20"/>
          <w:szCs w:val="20"/>
          <w:lang w:val="en-GB"/>
        </w:rPr>
        <w:t>en</w:t>
      </w:r>
      <w:proofErr w:type="spellEnd"/>
      <w:r w:rsidRPr="00BD62E7">
        <w:rPr>
          <w:i/>
          <w:iCs/>
          <w:color w:val="231F20"/>
          <w:sz w:val="20"/>
          <w:szCs w:val="20"/>
          <w:lang w:val="en-GB"/>
        </w:rPr>
        <w:t xml:space="preserve"> llamas</w:t>
      </w:r>
      <w:r w:rsidRPr="00BD62E7">
        <w:rPr>
          <w:color w:val="231F20"/>
          <w:sz w:val="20"/>
          <w:szCs w:val="20"/>
          <w:lang w:val="en-GB"/>
        </w:rPr>
        <w:t xml:space="preserve"> (Netflix, 2023) and </w:t>
      </w:r>
      <w:r w:rsidRPr="00BD62E7">
        <w:rPr>
          <w:i/>
          <w:iCs/>
          <w:color w:val="231F20"/>
          <w:sz w:val="20"/>
          <w:szCs w:val="20"/>
          <w:lang w:val="en-GB"/>
        </w:rPr>
        <w:t xml:space="preserve">Las </w:t>
      </w:r>
      <w:proofErr w:type="spellStart"/>
      <w:r w:rsidRPr="00BD62E7">
        <w:rPr>
          <w:i/>
          <w:iCs/>
          <w:color w:val="231F20"/>
          <w:sz w:val="20"/>
          <w:szCs w:val="20"/>
          <w:lang w:val="en-GB"/>
        </w:rPr>
        <w:t>cintas</w:t>
      </w:r>
      <w:proofErr w:type="spellEnd"/>
      <w:r w:rsidRPr="00BD62E7">
        <w:rPr>
          <w:i/>
          <w:iCs/>
          <w:color w:val="231F20"/>
          <w:sz w:val="20"/>
          <w:szCs w:val="20"/>
          <w:lang w:val="en-GB"/>
        </w:rPr>
        <w:t xml:space="preserve"> de Rosa Peral</w:t>
      </w:r>
      <w:r w:rsidRPr="00BD62E7">
        <w:rPr>
          <w:color w:val="231F20"/>
          <w:sz w:val="20"/>
          <w:szCs w:val="20"/>
          <w:lang w:val="en-GB"/>
        </w:rPr>
        <w:t xml:space="preserve"> (Netflix, 2023). This recurrence suggests a clear interest on the part of the platforms in exploring the internal mechanisms of the crime, as well as the psychological or emotional profile of the perpetrator.</w:t>
      </w:r>
    </w:p>
    <w:p w14:paraId="725CFD74" w14:textId="77777777" w:rsidR="00083156" w:rsidRPr="00BD62E7" w:rsidRDefault="00083156">
      <w:pPr>
        <w:widowControl/>
        <w:spacing w:after="80"/>
        <w:ind w:left="426" w:right="370"/>
        <w:jc w:val="both"/>
        <w:rPr>
          <w:color w:val="231F20"/>
          <w:sz w:val="20"/>
          <w:szCs w:val="20"/>
          <w:lang w:val="en-GB"/>
        </w:rPr>
      </w:pPr>
    </w:p>
    <w:p w14:paraId="28EC09CA" w14:textId="0B03A3DE" w:rsidR="00083156" w:rsidRPr="00885AFD" w:rsidRDefault="00000000" w:rsidP="00885AFD">
      <w:pPr>
        <w:widowControl/>
        <w:spacing w:after="80"/>
        <w:ind w:left="426" w:right="370"/>
        <w:jc w:val="center"/>
        <w:rPr>
          <w:color w:val="231F20"/>
          <w:sz w:val="20"/>
          <w:szCs w:val="20"/>
          <w:lang w:val="en-GB"/>
        </w:rPr>
      </w:pPr>
      <w:r w:rsidRPr="00BD62E7">
        <w:rPr>
          <w:color w:val="231F20"/>
          <w:sz w:val="20"/>
          <w:szCs w:val="20"/>
          <w:lang w:val="en-GB"/>
        </w:rPr>
        <w:t xml:space="preserve">Figure 2. Distribution of protagonist narrative roles in </w:t>
      </w:r>
      <w:proofErr w:type="spellStart"/>
      <w:r w:rsidRPr="00BD62E7">
        <w:rPr>
          <w:color w:val="231F20"/>
          <w:sz w:val="20"/>
          <w:szCs w:val="20"/>
          <w:lang w:val="en-GB"/>
        </w:rPr>
        <w:t>spanish</w:t>
      </w:r>
      <w:proofErr w:type="spellEnd"/>
      <w:r w:rsidRPr="00BD62E7">
        <w:rPr>
          <w:color w:val="231F20"/>
          <w:sz w:val="20"/>
          <w:szCs w:val="20"/>
          <w:lang w:val="en-GB"/>
        </w:rPr>
        <w:t xml:space="preserve"> true crime productions</w:t>
      </w:r>
      <w:r w:rsidR="00885AFD">
        <w:rPr>
          <w:noProof/>
          <w:color w:val="231F20"/>
          <w:sz w:val="20"/>
          <w:szCs w:val="20"/>
          <w:lang w:val="en-GB"/>
        </w:rPr>
        <w:drawing>
          <wp:inline distT="0" distB="0" distL="0" distR="0" wp14:anchorId="6D48B861" wp14:editId="22EDD2E6">
            <wp:extent cx="4476885" cy="2768600"/>
            <wp:effectExtent l="0" t="0" r="0" b="0"/>
            <wp:docPr id="20811426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4130" cy="2773081"/>
                    </a:xfrm>
                    <a:prstGeom prst="rect">
                      <a:avLst/>
                    </a:prstGeom>
                    <a:noFill/>
                    <a:ln>
                      <a:noFill/>
                    </a:ln>
                  </pic:spPr>
                </pic:pic>
              </a:graphicData>
            </a:graphic>
          </wp:inline>
        </w:drawing>
      </w:r>
    </w:p>
    <w:p w14:paraId="77E7D7B1" w14:textId="18C07482" w:rsidR="00083156" w:rsidRDefault="00000000" w:rsidP="00885AFD">
      <w:pPr>
        <w:widowControl/>
        <w:spacing w:after="80"/>
        <w:ind w:left="426" w:right="370"/>
        <w:jc w:val="center"/>
        <w:rPr>
          <w:color w:val="231F20"/>
          <w:sz w:val="20"/>
          <w:szCs w:val="20"/>
          <w:lang w:val="en-GB"/>
        </w:rPr>
      </w:pPr>
      <w:r w:rsidRPr="00BD62E7">
        <w:rPr>
          <w:color w:val="231F20"/>
          <w:sz w:val="20"/>
          <w:szCs w:val="20"/>
          <w:lang w:val="en-GB"/>
        </w:rPr>
        <w:t>Source: Authors</w:t>
      </w:r>
    </w:p>
    <w:p w14:paraId="506272EB" w14:textId="77777777" w:rsidR="00885AFD" w:rsidRPr="00BD62E7" w:rsidRDefault="00885AFD" w:rsidP="00885AFD">
      <w:pPr>
        <w:widowControl/>
        <w:spacing w:after="80"/>
        <w:ind w:left="426" w:right="370"/>
        <w:jc w:val="center"/>
        <w:rPr>
          <w:color w:val="231F20"/>
          <w:sz w:val="20"/>
          <w:szCs w:val="20"/>
          <w:lang w:val="en-GB"/>
        </w:rPr>
      </w:pPr>
    </w:p>
    <w:p w14:paraId="144A93DF"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Secondly, 10 productions adopt an approach centred on the victim, constructing narratives that emphasise personal suffering, injustice or the social impact of the crime. There is also evidence of 5 works led by individuals who were falsely accused or whose guilt is questioned, in which the narrative shifts towards errors in the judicial or police system and the ambiguity involved in the construction of truth. A paradigmatic example is the </w:t>
      </w:r>
      <w:proofErr w:type="spellStart"/>
      <w:r w:rsidRPr="00BD62E7">
        <w:rPr>
          <w:color w:val="231F20"/>
          <w:sz w:val="20"/>
          <w:szCs w:val="20"/>
          <w:lang w:val="en-GB"/>
        </w:rPr>
        <w:t>Wanninkhof</w:t>
      </w:r>
      <w:proofErr w:type="spellEnd"/>
      <w:r w:rsidRPr="00BD62E7">
        <w:rPr>
          <w:color w:val="231F20"/>
          <w:sz w:val="20"/>
          <w:szCs w:val="20"/>
          <w:lang w:val="en-GB"/>
        </w:rPr>
        <w:t xml:space="preserve"> case, with two complementary approaches: </w:t>
      </w:r>
      <w:r w:rsidRPr="00BD62E7">
        <w:rPr>
          <w:i/>
          <w:iCs/>
          <w:color w:val="231F20"/>
          <w:sz w:val="20"/>
          <w:szCs w:val="20"/>
          <w:lang w:val="en-GB"/>
        </w:rPr>
        <w:t xml:space="preserve">El </w:t>
      </w:r>
      <w:proofErr w:type="spellStart"/>
      <w:r w:rsidRPr="00BD62E7">
        <w:rPr>
          <w:i/>
          <w:iCs/>
          <w:color w:val="231F20"/>
          <w:sz w:val="20"/>
          <w:szCs w:val="20"/>
          <w:lang w:val="en-GB"/>
        </w:rPr>
        <w:t>caso</w:t>
      </w:r>
      <w:proofErr w:type="spellEnd"/>
      <w:r w:rsidRPr="00BD62E7">
        <w:rPr>
          <w:i/>
          <w:iCs/>
          <w:color w:val="231F20"/>
          <w:sz w:val="20"/>
          <w:szCs w:val="20"/>
          <w:lang w:val="en-GB"/>
        </w:rPr>
        <w:t xml:space="preserve"> </w:t>
      </w:r>
      <w:proofErr w:type="spellStart"/>
      <w:r w:rsidRPr="00BD62E7">
        <w:rPr>
          <w:i/>
          <w:iCs/>
          <w:color w:val="231F20"/>
          <w:sz w:val="20"/>
          <w:szCs w:val="20"/>
          <w:lang w:val="en-GB"/>
        </w:rPr>
        <w:t>Wanninkhof</w:t>
      </w:r>
      <w:proofErr w:type="spellEnd"/>
      <w:r w:rsidRPr="00BD62E7">
        <w:rPr>
          <w:rFonts w:ascii="Cambria Math" w:eastAsia="Cambria Math" w:hAnsi="Cambria Math" w:cs="Cambria Math"/>
          <w:i/>
          <w:iCs/>
          <w:color w:val="231F20"/>
          <w:sz w:val="20"/>
          <w:szCs w:val="20"/>
          <w:lang w:val="en-GB"/>
        </w:rPr>
        <w:t>‑</w:t>
      </w:r>
      <w:r w:rsidRPr="00BD62E7">
        <w:rPr>
          <w:i/>
          <w:iCs/>
          <w:color w:val="231F20"/>
          <w:sz w:val="20"/>
          <w:szCs w:val="20"/>
          <w:lang w:val="en-GB"/>
        </w:rPr>
        <w:t>Carabantes</w:t>
      </w:r>
      <w:r w:rsidRPr="00BD62E7">
        <w:rPr>
          <w:color w:val="231F20"/>
          <w:sz w:val="20"/>
          <w:szCs w:val="20"/>
          <w:lang w:val="en-GB"/>
        </w:rPr>
        <w:t xml:space="preserve"> (Netflix, 2021) and </w:t>
      </w:r>
      <w:r w:rsidRPr="00BD62E7">
        <w:rPr>
          <w:i/>
          <w:iCs/>
          <w:color w:val="231F20"/>
          <w:sz w:val="20"/>
          <w:szCs w:val="20"/>
          <w:lang w:val="en-GB"/>
        </w:rPr>
        <w:t xml:space="preserve">Dolores: La </w:t>
      </w:r>
      <w:proofErr w:type="spellStart"/>
      <w:r w:rsidRPr="00BD62E7">
        <w:rPr>
          <w:i/>
          <w:iCs/>
          <w:color w:val="231F20"/>
          <w:sz w:val="20"/>
          <w:szCs w:val="20"/>
          <w:lang w:val="en-GB"/>
        </w:rPr>
        <w:t>verdad</w:t>
      </w:r>
      <w:proofErr w:type="spellEnd"/>
      <w:r w:rsidRPr="00BD62E7">
        <w:rPr>
          <w:i/>
          <w:iCs/>
          <w:color w:val="231F20"/>
          <w:sz w:val="20"/>
          <w:szCs w:val="20"/>
          <w:lang w:val="en-GB"/>
        </w:rPr>
        <w:t xml:space="preserve"> </w:t>
      </w:r>
      <w:proofErr w:type="spellStart"/>
      <w:r w:rsidRPr="00BD62E7">
        <w:rPr>
          <w:i/>
          <w:iCs/>
          <w:color w:val="231F20"/>
          <w:sz w:val="20"/>
          <w:szCs w:val="20"/>
          <w:lang w:val="en-GB"/>
        </w:rPr>
        <w:t>sobre</w:t>
      </w:r>
      <w:proofErr w:type="spellEnd"/>
      <w:r w:rsidRPr="00BD62E7">
        <w:rPr>
          <w:i/>
          <w:iCs/>
          <w:color w:val="231F20"/>
          <w:sz w:val="20"/>
          <w:szCs w:val="20"/>
          <w:lang w:val="en-GB"/>
        </w:rPr>
        <w:t xml:space="preserve"> </w:t>
      </w:r>
      <w:proofErr w:type="spellStart"/>
      <w:r w:rsidRPr="00BD62E7">
        <w:rPr>
          <w:i/>
          <w:iCs/>
          <w:color w:val="231F20"/>
          <w:sz w:val="20"/>
          <w:szCs w:val="20"/>
          <w:lang w:val="en-GB"/>
        </w:rPr>
        <w:t>el</w:t>
      </w:r>
      <w:proofErr w:type="spellEnd"/>
      <w:r w:rsidRPr="00BD62E7">
        <w:rPr>
          <w:i/>
          <w:iCs/>
          <w:color w:val="231F20"/>
          <w:sz w:val="20"/>
          <w:szCs w:val="20"/>
          <w:lang w:val="en-GB"/>
        </w:rPr>
        <w:t xml:space="preserve"> Caso </w:t>
      </w:r>
      <w:proofErr w:type="spellStart"/>
      <w:r w:rsidRPr="00BD62E7">
        <w:rPr>
          <w:i/>
          <w:iCs/>
          <w:color w:val="231F20"/>
          <w:sz w:val="20"/>
          <w:szCs w:val="20"/>
          <w:lang w:val="en-GB"/>
        </w:rPr>
        <w:t>Wanninkhof</w:t>
      </w:r>
      <w:proofErr w:type="spellEnd"/>
      <w:r w:rsidRPr="00BD62E7">
        <w:rPr>
          <w:color w:val="231F20"/>
          <w:sz w:val="20"/>
          <w:szCs w:val="20"/>
          <w:lang w:val="en-GB"/>
        </w:rPr>
        <w:t xml:space="preserve"> (HBO Max, 2021), both of which recover the figure of Dolores Vázquez as the victim of an erroneous, highly mediatised accusation marked by social prejudice. Along these lines, </w:t>
      </w:r>
      <w:r w:rsidRPr="00BD62E7">
        <w:rPr>
          <w:i/>
          <w:iCs/>
          <w:color w:val="231F20"/>
          <w:sz w:val="20"/>
          <w:szCs w:val="20"/>
          <w:lang w:val="en-GB"/>
        </w:rPr>
        <w:t xml:space="preserve">En </w:t>
      </w:r>
      <w:proofErr w:type="spellStart"/>
      <w:r w:rsidRPr="00BD62E7">
        <w:rPr>
          <w:i/>
          <w:iCs/>
          <w:color w:val="231F20"/>
          <w:sz w:val="20"/>
          <w:szCs w:val="20"/>
          <w:lang w:val="en-GB"/>
        </w:rPr>
        <w:t>el</w:t>
      </w:r>
      <w:proofErr w:type="spellEnd"/>
      <w:r w:rsidRPr="00BD62E7">
        <w:rPr>
          <w:i/>
          <w:iCs/>
          <w:color w:val="231F20"/>
          <w:sz w:val="20"/>
          <w:szCs w:val="20"/>
          <w:lang w:val="en-GB"/>
        </w:rPr>
        <w:t xml:space="preserve"> </w:t>
      </w:r>
      <w:proofErr w:type="spellStart"/>
      <w:r w:rsidRPr="00BD62E7">
        <w:rPr>
          <w:i/>
          <w:iCs/>
          <w:color w:val="231F20"/>
          <w:sz w:val="20"/>
          <w:szCs w:val="20"/>
          <w:lang w:val="en-GB"/>
        </w:rPr>
        <w:t>corredor</w:t>
      </w:r>
      <w:proofErr w:type="spellEnd"/>
      <w:r w:rsidRPr="00BD62E7">
        <w:rPr>
          <w:i/>
          <w:iCs/>
          <w:color w:val="231F20"/>
          <w:sz w:val="20"/>
          <w:szCs w:val="20"/>
          <w:lang w:val="en-GB"/>
        </w:rPr>
        <w:t xml:space="preserve"> de la </w:t>
      </w:r>
      <w:proofErr w:type="spellStart"/>
      <w:r w:rsidRPr="00BD62E7">
        <w:rPr>
          <w:i/>
          <w:iCs/>
          <w:color w:val="231F20"/>
          <w:sz w:val="20"/>
          <w:szCs w:val="20"/>
          <w:lang w:val="en-GB"/>
        </w:rPr>
        <w:t>muerte</w:t>
      </w:r>
      <w:proofErr w:type="spellEnd"/>
      <w:r w:rsidRPr="00BD62E7">
        <w:rPr>
          <w:color w:val="231F20"/>
          <w:sz w:val="20"/>
          <w:szCs w:val="20"/>
          <w:lang w:val="en-GB"/>
        </w:rPr>
        <w:t xml:space="preserve"> (Movistar+, 2019) and </w:t>
      </w:r>
      <w:r w:rsidRPr="00BD62E7">
        <w:rPr>
          <w:i/>
          <w:iCs/>
          <w:color w:val="231F20"/>
          <w:sz w:val="20"/>
          <w:szCs w:val="20"/>
          <w:lang w:val="en-GB"/>
        </w:rPr>
        <w:t>El Estado contra Pablo Ibar</w:t>
      </w:r>
      <w:r w:rsidRPr="00BD62E7">
        <w:rPr>
          <w:color w:val="231F20"/>
          <w:sz w:val="20"/>
          <w:szCs w:val="20"/>
          <w:lang w:val="en-GB"/>
        </w:rPr>
        <w:t xml:space="preserve"> (HBO Max, 2020) are also included; although their narratives are not presented as exonerations, they </w:t>
      </w:r>
      <w:r w:rsidRPr="00BD62E7">
        <w:rPr>
          <w:color w:val="231F20"/>
          <w:sz w:val="20"/>
          <w:szCs w:val="20"/>
          <w:lang w:val="en-GB"/>
        </w:rPr>
        <w:lastRenderedPageBreak/>
        <w:t>do serve as examples of contested judicial processes, containing elements that invite reasonable doubt regarding his guilt.</w:t>
      </w:r>
    </w:p>
    <w:p w14:paraId="0C179214"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Finally, in 4 cases the protagonist role could not be identified, as these productions are structured episodically and vary from one episode to another. This diversity of perspectives enriches the narrative scope of the genre and reflects an ecosystem in which true crime not only explores the events themselves, but also the ethical, emotional or social position from which they are told.</w:t>
      </w:r>
    </w:p>
    <w:p w14:paraId="7F4BC85A"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On the other hand, a balanced gender representation is observed, although cases in which the narrative centres on male characters predominate (14 titles), followed by those with female protagonists (13 titles), and, to a lesser extent, works with mixed protagonism (5 titles).</w:t>
      </w:r>
    </w:p>
    <w:p w14:paraId="195222A7"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When examining protagonists’ roles according to gender, it is observed that men appear as perpetrators in 50% of the cases, while they occupy the role of victims in 36% and that of allegedly falsely accused individuals in 14%. Women, for their part, are represented primarily as victims, as seen in 42% of the cases. They also appear as perpetrators in 33% and as falsely accused in 25%.</w:t>
      </w:r>
    </w:p>
    <w:p w14:paraId="7F08212D"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Beyond percentage distribution, it is particularly significant how the narrative focus is configured depending on the gender of those involved. When a woman is present in the case, either as a victim (</w:t>
      </w:r>
      <w:r w:rsidRPr="00BD62E7">
        <w:rPr>
          <w:i/>
          <w:iCs/>
          <w:color w:val="231F20"/>
          <w:sz w:val="20"/>
          <w:szCs w:val="20"/>
          <w:lang w:val="en-GB"/>
        </w:rPr>
        <w:t>¿</w:t>
      </w:r>
      <w:proofErr w:type="spellStart"/>
      <w:r w:rsidRPr="00BD62E7">
        <w:rPr>
          <w:i/>
          <w:iCs/>
          <w:color w:val="231F20"/>
          <w:sz w:val="20"/>
          <w:szCs w:val="20"/>
          <w:lang w:val="en-GB"/>
        </w:rPr>
        <w:t>Dónde</w:t>
      </w:r>
      <w:proofErr w:type="spellEnd"/>
      <w:r w:rsidRPr="00BD62E7">
        <w:rPr>
          <w:i/>
          <w:iCs/>
          <w:color w:val="231F20"/>
          <w:sz w:val="20"/>
          <w:szCs w:val="20"/>
          <w:lang w:val="en-GB"/>
        </w:rPr>
        <w:t xml:space="preserve"> </w:t>
      </w:r>
      <w:proofErr w:type="spellStart"/>
      <w:r w:rsidRPr="00BD62E7">
        <w:rPr>
          <w:i/>
          <w:iCs/>
          <w:color w:val="231F20"/>
          <w:sz w:val="20"/>
          <w:szCs w:val="20"/>
          <w:lang w:val="en-GB"/>
        </w:rPr>
        <w:t>está</w:t>
      </w:r>
      <w:proofErr w:type="spellEnd"/>
      <w:r w:rsidRPr="00BD62E7">
        <w:rPr>
          <w:i/>
          <w:iCs/>
          <w:color w:val="231F20"/>
          <w:sz w:val="20"/>
          <w:szCs w:val="20"/>
          <w:lang w:val="en-GB"/>
        </w:rPr>
        <w:t xml:space="preserve"> Marta?, </w:t>
      </w:r>
      <w:r w:rsidRPr="00BD62E7">
        <w:rPr>
          <w:color w:val="231F20"/>
          <w:sz w:val="20"/>
          <w:szCs w:val="20"/>
          <w:lang w:val="en-GB"/>
        </w:rPr>
        <w:t xml:space="preserve">Netflix, 2021; </w:t>
      </w:r>
      <w:r w:rsidRPr="00BD62E7">
        <w:rPr>
          <w:i/>
          <w:iCs/>
          <w:color w:val="231F20"/>
          <w:sz w:val="20"/>
          <w:szCs w:val="20"/>
          <w:lang w:val="en-GB"/>
        </w:rPr>
        <w:t xml:space="preserve">Lucrecia: Un crimen de </w:t>
      </w:r>
      <w:proofErr w:type="spellStart"/>
      <w:r w:rsidRPr="00BD62E7">
        <w:rPr>
          <w:i/>
          <w:iCs/>
          <w:color w:val="231F20"/>
          <w:sz w:val="20"/>
          <w:szCs w:val="20"/>
          <w:lang w:val="en-GB"/>
        </w:rPr>
        <w:t>odio</w:t>
      </w:r>
      <w:proofErr w:type="spellEnd"/>
      <w:r w:rsidRPr="00BD62E7">
        <w:rPr>
          <w:color w:val="231F20"/>
          <w:sz w:val="20"/>
          <w:szCs w:val="20"/>
          <w:lang w:val="en-GB"/>
        </w:rPr>
        <w:t xml:space="preserve">, Disney+, 2024; </w:t>
      </w:r>
      <w:r w:rsidRPr="00BD62E7">
        <w:rPr>
          <w:i/>
          <w:iCs/>
          <w:color w:val="231F20"/>
          <w:sz w:val="20"/>
          <w:szCs w:val="20"/>
          <w:lang w:val="en-GB"/>
        </w:rPr>
        <w:t xml:space="preserve">Lucía </w:t>
      </w:r>
      <w:proofErr w:type="spellStart"/>
      <w:r w:rsidRPr="00BD62E7">
        <w:rPr>
          <w:i/>
          <w:iCs/>
          <w:color w:val="231F20"/>
          <w:sz w:val="20"/>
          <w:szCs w:val="20"/>
          <w:lang w:val="en-GB"/>
        </w:rPr>
        <w:t>en</w:t>
      </w:r>
      <w:proofErr w:type="spellEnd"/>
      <w:r w:rsidRPr="00BD62E7">
        <w:rPr>
          <w:i/>
          <w:iCs/>
          <w:color w:val="231F20"/>
          <w:sz w:val="20"/>
          <w:szCs w:val="20"/>
          <w:lang w:val="en-GB"/>
        </w:rPr>
        <w:t xml:space="preserve"> la </w:t>
      </w:r>
      <w:proofErr w:type="spellStart"/>
      <w:r w:rsidRPr="00BD62E7">
        <w:rPr>
          <w:i/>
          <w:iCs/>
          <w:color w:val="231F20"/>
          <w:sz w:val="20"/>
          <w:szCs w:val="20"/>
          <w:lang w:val="en-GB"/>
        </w:rPr>
        <w:t>telaraña</w:t>
      </w:r>
      <w:proofErr w:type="spellEnd"/>
      <w:r w:rsidRPr="00BD62E7">
        <w:rPr>
          <w:color w:val="231F20"/>
          <w:sz w:val="20"/>
          <w:szCs w:val="20"/>
          <w:lang w:val="en-GB"/>
        </w:rPr>
        <w:t>, RTVE Play/</w:t>
      </w:r>
      <w:proofErr w:type="spellStart"/>
      <w:r w:rsidRPr="00BD62E7">
        <w:rPr>
          <w:color w:val="231F20"/>
          <w:sz w:val="20"/>
          <w:szCs w:val="20"/>
          <w:lang w:val="en-GB"/>
        </w:rPr>
        <w:t>Playz</w:t>
      </w:r>
      <w:proofErr w:type="spellEnd"/>
      <w:r w:rsidRPr="00BD62E7">
        <w:rPr>
          <w:color w:val="231F20"/>
          <w:sz w:val="20"/>
          <w:szCs w:val="20"/>
          <w:lang w:val="en-GB"/>
        </w:rPr>
        <w:t>, 2021) or as a perpetrator (</w:t>
      </w:r>
      <w:r w:rsidRPr="00BD62E7">
        <w:rPr>
          <w:i/>
          <w:iCs/>
          <w:color w:val="231F20"/>
          <w:sz w:val="20"/>
          <w:szCs w:val="20"/>
          <w:lang w:val="en-GB"/>
        </w:rPr>
        <w:t xml:space="preserve">Las </w:t>
      </w:r>
      <w:proofErr w:type="spellStart"/>
      <w:r w:rsidRPr="00BD62E7">
        <w:rPr>
          <w:i/>
          <w:iCs/>
          <w:color w:val="231F20"/>
          <w:sz w:val="20"/>
          <w:szCs w:val="20"/>
          <w:lang w:val="en-GB"/>
        </w:rPr>
        <w:t>cintas</w:t>
      </w:r>
      <w:proofErr w:type="spellEnd"/>
      <w:r w:rsidRPr="00BD62E7">
        <w:rPr>
          <w:i/>
          <w:iCs/>
          <w:color w:val="231F20"/>
          <w:sz w:val="20"/>
          <w:szCs w:val="20"/>
          <w:lang w:val="en-GB"/>
        </w:rPr>
        <w:t xml:space="preserve"> de Rosa Peral,</w:t>
      </w:r>
      <w:r w:rsidRPr="00BD62E7">
        <w:rPr>
          <w:color w:val="231F20"/>
          <w:sz w:val="20"/>
          <w:szCs w:val="20"/>
          <w:lang w:val="en-GB"/>
        </w:rPr>
        <w:t xml:space="preserve"> Netflix, 2023; </w:t>
      </w:r>
      <w:r w:rsidRPr="00BD62E7">
        <w:rPr>
          <w:i/>
          <w:iCs/>
          <w:color w:val="231F20"/>
          <w:sz w:val="20"/>
          <w:szCs w:val="20"/>
          <w:lang w:val="en-GB"/>
        </w:rPr>
        <w:t xml:space="preserve">La </w:t>
      </w:r>
      <w:proofErr w:type="spellStart"/>
      <w:r w:rsidRPr="00BD62E7">
        <w:rPr>
          <w:i/>
          <w:iCs/>
          <w:color w:val="231F20"/>
          <w:sz w:val="20"/>
          <w:szCs w:val="20"/>
          <w:lang w:val="en-GB"/>
        </w:rPr>
        <w:t>viuda</w:t>
      </w:r>
      <w:proofErr w:type="spellEnd"/>
      <w:r w:rsidRPr="00BD62E7">
        <w:rPr>
          <w:i/>
          <w:iCs/>
          <w:color w:val="231F20"/>
          <w:sz w:val="20"/>
          <w:szCs w:val="20"/>
          <w:lang w:val="en-GB"/>
        </w:rPr>
        <w:t xml:space="preserve"> </w:t>
      </w:r>
      <w:proofErr w:type="spellStart"/>
      <w:r w:rsidRPr="00BD62E7">
        <w:rPr>
          <w:i/>
          <w:iCs/>
          <w:color w:val="231F20"/>
          <w:sz w:val="20"/>
          <w:szCs w:val="20"/>
          <w:lang w:val="en-GB"/>
        </w:rPr>
        <w:t>negra</w:t>
      </w:r>
      <w:proofErr w:type="spellEnd"/>
      <w:r w:rsidRPr="00BD62E7">
        <w:rPr>
          <w:color w:val="231F20"/>
          <w:sz w:val="20"/>
          <w:szCs w:val="20"/>
          <w:lang w:val="en-GB"/>
        </w:rPr>
        <w:t xml:space="preserve">, Netflix, 2025), the narrative tends to centre on her figure. This trend aligns with the growing mediatisation of certain female criminal profiles, often constructed through stereotypes such as that of the femme fatale. Notable examples of this representation can be found in productions centred on Rosa Peral (the Guardia Urbana crime) or Maje Moreno (the </w:t>
      </w:r>
      <w:proofErr w:type="spellStart"/>
      <w:r w:rsidRPr="00BD62E7">
        <w:rPr>
          <w:color w:val="231F20"/>
          <w:sz w:val="20"/>
          <w:szCs w:val="20"/>
          <w:lang w:val="en-GB"/>
        </w:rPr>
        <w:t>Patraix</w:t>
      </w:r>
      <w:proofErr w:type="spellEnd"/>
      <w:r w:rsidRPr="00BD62E7">
        <w:rPr>
          <w:color w:val="231F20"/>
          <w:sz w:val="20"/>
          <w:szCs w:val="20"/>
          <w:lang w:val="en-GB"/>
        </w:rPr>
        <w:t xml:space="preserve"> crime), where the story is articulated around women who manipulate their lovers to murder their respective partners, reinforcing the imaginary of the calculating and seductive woman associated with crimes of passion.</w:t>
      </w:r>
    </w:p>
    <w:p w14:paraId="75EDCA9C"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Conversely, when the protagonist is a man, his centrality in the narrative seems to be largely linked to the absence of female figures in the real cases on which the productions are based. Thus, 50% of productions with male protagonism place men at the centre of the narrative because these are cases involving only male individuals. This is the case of the documentary miniseries </w:t>
      </w:r>
      <w:proofErr w:type="spellStart"/>
      <w:r w:rsidRPr="00BD62E7">
        <w:rPr>
          <w:i/>
          <w:iCs/>
          <w:color w:val="231F20"/>
          <w:sz w:val="20"/>
          <w:szCs w:val="20"/>
          <w:lang w:val="en-GB"/>
        </w:rPr>
        <w:t>Pacto</w:t>
      </w:r>
      <w:proofErr w:type="spellEnd"/>
      <w:r w:rsidRPr="00BD62E7">
        <w:rPr>
          <w:i/>
          <w:iCs/>
          <w:color w:val="231F20"/>
          <w:sz w:val="20"/>
          <w:szCs w:val="20"/>
          <w:lang w:val="en-GB"/>
        </w:rPr>
        <w:t xml:space="preserve"> de </w:t>
      </w:r>
      <w:proofErr w:type="spellStart"/>
      <w:r w:rsidRPr="00BD62E7">
        <w:rPr>
          <w:i/>
          <w:iCs/>
          <w:color w:val="231F20"/>
          <w:sz w:val="20"/>
          <w:szCs w:val="20"/>
          <w:lang w:val="en-GB"/>
        </w:rPr>
        <w:t>silencio</w:t>
      </w:r>
      <w:proofErr w:type="spellEnd"/>
      <w:r w:rsidRPr="00BD62E7">
        <w:rPr>
          <w:i/>
          <w:iCs/>
          <w:color w:val="231F20"/>
          <w:sz w:val="20"/>
          <w:szCs w:val="20"/>
          <w:lang w:val="en-GB"/>
        </w:rPr>
        <w:t xml:space="preserve">. Santiago Corella ‘El Nani’ y la mafia </w:t>
      </w:r>
      <w:proofErr w:type="spellStart"/>
      <w:r w:rsidRPr="00BD62E7">
        <w:rPr>
          <w:i/>
          <w:iCs/>
          <w:color w:val="231F20"/>
          <w:sz w:val="20"/>
          <w:szCs w:val="20"/>
          <w:lang w:val="en-GB"/>
        </w:rPr>
        <w:t>policial</w:t>
      </w:r>
      <w:proofErr w:type="spellEnd"/>
      <w:r w:rsidRPr="00BD62E7">
        <w:rPr>
          <w:color w:val="231F20"/>
          <w:sz w:val="20"/>
          <w:szCs w:val="20"/>
          <w:lang w:val="en-GB"/>
        </w:rPr>
        <w:t xml:space="preserve"> (RTVE Play/</w:t>
      </w:r>
      <w:proofErr w:type="spellStart"/>
      <w:r w:rsidRPr="00BD62E7">
        <w:rPr>
          <w:color w:val="231F20"/>
          <w:sz w:val="20"/>
          <w:szCs w:val="20"/>
          <w:lang w:val="en-GB"/>
        </w:rPr>
        <w:t>Playz</w:t>
      </w:r>
      <w:proofErr w:type="spellEnd"/>
      <w:r w:rsidRPr="00BD62E7">
        <w:rPr>
          <w:color w:val="231F20"/>
          <w:sz w:val="20"/>
          <w:szCs w:val="20"/>
          <w:lang w:val="en-GB"/>
        </w:rPr>
        <w:t xml:space="preserve">, 2022), which focuses on the disappearance of a young man detained by the police, framed within a network of institutional corruption composed of men. Something similar occurs in </w:t>
      </w:r>
      <w:r w:rsidRPr="00BD62E7">
        <w:rPr>
          <w:i/>
          <w:iCs/>
          <w:color w:val="231F20"/>
          <w:sz w:val="20"/>
          <w:szCs w:val="20"/>
          <w:lang w:val="en-GB"/>
        </w:rPr>
        <w:t xml:space="preserve">El </w:t>
      </w:r>
      <w:proofErr w:type="spellStart"/>
      <w:r w:rsidRPr="00BD62E7">
        <w:rPr>
          <w:i/>
          <w:iCs/>
          <w:color w:val="231F20"/>
          <w:sz w:val="20"/>
          <w:szCs w:val="20"/>
          <w:lang w:val="en-GB"/>
        </w:rPr>
        <w:t>caso</w:t>
      </w:r>
      <w:proofErr w:type="spellEnd"/>
      <w:r w:rsidRPr="00BD62E7">
        <w:rPr>
          <w:i/>
          <w:iCs/>
          <w:color w:val="231F20"/>
          <w:sz w:val="20"/>
          <w:szCs w:val="20"/>
          <w:lang w:val="en-GB"/>
        </w:rPr>
        <w:t xml:space="preserve"> Sancho</w:t>
      </w:r>
      <w:r w:rsidRPr="00BD62E7">
        <w:rPr>
          <w:color w:val="231F20"/>
          <w:sz w:val="20"/>
          <w:szCs w:val="20"/>
          <w:lang w:val="en-GB"/>
        </w:rPr>
        <w:t xml:space="preserve"> (HBO Max, 2024) and </w:t>
      </w:r>
      <w:proofErr w:type="spellStart"/>
      <w:r w:rsidRPr="00BD62E7">
        <w:rPr>
          <w:i/>
          <w:iCs/>
          <w:color w:val="231F20"/>
          <w:sz w:val="20"/>
          <w:szCs w:val="20"/>
          <w:lang w:val="en-GB"/>
        </w:rPr>
        <w:t>Receta</w:t>
      </w:r>
      <w:proofErr w:type="spellEnd"/>
      <w:r w:rsidRPr="00BD62E7">
        <w:rPr>
          <w:i/>
          <w:iCs/>
          <w:color w:val="231F20"/>
          <w:sz w:val="20"/>
          <w:szCs w:val="20"/>
          <w:lang w:val="en-GB"/>
        </w:rPr>
        <w:t xml:space="preserve"> para un </w:t>
      </w:r>
      <w:proofErr w:type="spellStart"/>
      <w:r w:rsidRPr="00BD62E7">
        <w:rPr>
          <w:i/>
          <w:iCs/>
          <w:color w:val="231F20"/>
          <w:sz w:val="20"/>
          <w:szCs w:val="20"/>
          <w:lang w:val="en-GB"/>
        </w:rPr>
        <w:t>asesinato</w:t>
      </w:r>
      <w:proofErr w:type="spellEnd"/>
      <w:r w:rsidRPr="00BD62E7">
        <w:rPr>
          <w:color w:val="231F20"/>
          <w:sz w:val="20"/>
          <w:szCs w:val="20"/>
          <w:lang w:val="en-GB"/>
        </w:rPr>
        <w:t xml:space="preserve"> (</w:t>
      </w:r>
      <w:proofErr w:type="spellStart"/>
      <w:r w:rsidRPr="00BD62E7">
        <w:rPr>
          <w:color w:val="231F20"/>
          <w:sz w:val="20"/>
          <w:szCs w:val="20"/>
          <w:lang w:val="en-GB"/>
        </w:rPr>
        <w:t>SkyShowtime</w:t>
      </w:r>
      <w:proofErr w:type="spellEnd"/>
      <w:r w:rsidRPr="00BD62E7">
        <w:rPr>
          <w:color w:val="231F20"/>
          <w:sz w:val="20"/>
          <w:szCs w:val="20"/>
          <w:lang w:val="en-GB"/>
        </w:rPr>
        <w:t xml:space="preserve">, 2025), where both the victim and the alleged perpetrator are men. This pattern is also found in other productions such as </w:t>
      </w:r>
      <w:r w:rsidRPr="00BD62E7">
        <w:rPr>
          <w:i/>
          <w:iCs/>
          <w:color w:val="231F20"/>
          <w:sz w:val="20"/>
          <w:szCs w:val="20"/>
          <w:lang w:val="en-GB"/>
        </w:rPr>
        <w:t xml:space="preserve">La caza del </w:t>
      </w:r>
      <w:proofErr w:type="spellStart"/>
      <w:r w:rsidRPr="00BD62E7">
        <w:rPr>
          <w:i/>
          <w:iCs/>
          <w:color w:val="231F20"/>
          <w:sz w:val="20"/>
          <w:szCs w:val="20"/>
          <w:lang w:val="en-GB"/>
        </w:rPr>
        <w:t>solitario</w:t>
      </w:r>
      <w:proofErr w:type="spellEnd"/>
      <w:r w:rsidRPr="00BD62E7">
        <w:rPr>
          <w:color w:val="231F20"/>
          <w:sz w:val="20"/>
          <w:szCs w:val="20"/>
          <w:lang w:val="en-GB"/>
        </w:rPr>
        <w:t xml:space="preserve"> (Movistar+, 2025), about the murder of two civil guards by Jaime Giménez, or </w:t>
      </w:r>
      <w:r w:rsidRPr="00BD62E7">
        <w:rPr>
          <w:i/>
          <w:iCs/>
          <w:color w:val="231F20"/>
          <w:sz w:val="20"/>
          <w:szCs w:val="20"/>
          <w:lang w:val="en-GB"/>
        </w:rPr>
        <w:t xml:space="preserve">Justicia </w:t>
      </w:r>
      <w:proofErr w:type="gramStart"/>
      <w:r w:rsidRPr="00BD62E7">
        <w:rPr>
          <w:i/>
          <w:iCs/>
          <w:color w:val="231F20"/>
          <w:sz w:val="20"/>
          <w:szCs w:val="20"/>
          <w:lang w:val="en-GB"/>
        </w:rPr>
        <w:t>para Diego</w:t>
      </w:r>
      <w:proofErr w:type="gramEnd"/>
      <w:r w:rsidRPr="00BD62E7">
        <w:rPr>
          <w:color w:val="231F20"/>
          <w:sz w:val="20"/>
          <w:szCs w:val="20"/>
          <w:lang w:val="en-GB"/>
        </w:rPr>
        <w:t xml:space="preserve"> (RTVE Play/</w:t>
      </w:r>
      <w:proofErr w:type="spellStart"/>
      <w:r w:rsidRPr="00BD62E7">
        <w:rPr>
          <w:color w:val="231F20"/>
          <w:sz w:val="20"/>
          <w:szCs w:val="20"/>
          <w:lang w:val="en-GB"/>
        </w:rPr>
        <w:t>Playz</w:t>
      </w:r>
      <w:proofErr w:type="spellEnd"/>
      <w:r w:rsidRPr="00BD62E7">
        <w:rPr>
          <w:color w:val="231F20"/>
          <w:sz w:val="20"/>
          <w:szCs w:val="20"/>
          <w:lang w:val="en-GB"/>
        </w:rPr>
        <w:t>, 2025), the case of Galician entrepreneur Diego Bello, who was killed in January 2020 by three police officers in the Philippines.</w:t>
      </w:r>
    </w:p>
    <w:p w14:paraId="3E82A7E7"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However, two relevant exceptions to the general trend are identified (14%), in which the victim is female but the narrative protagonism falls upon a male figure. This is the case of </w:t>
      </w:r>
      <w:r w:rsidRPr="00BD62E7">
        <w:rPr>
          <w:i/>
          <w:iCs/>
          <w:color w:val="231F20"/>
          <w:sz w:val="20"/>
          <w:szCs w:val="20"/>
          <w:lang w:val="en-GB"/>
        </w:rPr>
        <w:t xml:space="preserve">El Rey del </w:t>
      </w:r>
      <w:proofErr w:type="spellStart"/>
      <w:r w:rsidRPr="00BD62E7">
        <w:rPr>
          <w:i/>
          <w:iCs/>
          <w:color w:val="231F20"/>
          <w:sz w:val="20"/>
          <w:szCs w:val="20"/>
          <w:lang w:val="en-GB"/>
        </w:rPr>
        <w:t>Cachopo</w:t>
      </w:r>
      <w:proofErr w:type="spellEnd"/>
      <w:r w:rsidRPr="00BD62E7">
        <w:rPr>
          <w:color w:val="231F20"/>
          <w:sz w:val="20"/>
          <w:szCs w:val="20"/>
          <w:lang w:val="en-GB"/>
        </w:rPr>
        <w:t xml:space="preserve"> (Netflix, 2021), where, although the victim is a woman murdered by her partner, the narrative centres on the perpetrator, whose previous media projection as an eccentric businessman reinforces the masculine dimension of the story. Similarly, in </w:t>
      </w:r>
      <w:r w:rsidRPr="00BD62E7">
        <w:rPr>
          <w:color w:val="231F20"/>
          <w:sz w:val="20"/>
          <w:szCs w:val="20"/>
          <w:lang w:val="en-GB"/>
        </w:rPr>
        <w:lastRenderedPageBreak/>
        <w:t xml:space="preserve">the documentary miniseries </w:t>
      </w:r>
      <w:proofErr w:type="spellStart"/>
      <w:r w:rsidRPr="00BD62E7">
        <w:rPr>
          <w:i/>
          <w:iCs/>
          <w:color w:val="231F20"/>
          <w:sz w:val="20"/>
          <w:szCs w:val="20"/>
          <w:lang w:val="en-GB"/>
        </w:rPr>
        <w:t>Anglés</w:t>
      </w:r>
      <w:proofErr w:type="spellEnd"/>
      <w:r w:rsidRPr="00BD62E7">
        <w:rPr>
          <w:i/>
          <w:iCs/>
          <w:color w:val="231F20"/>
          <w:sz w:val="20"/>
          <w:szCs w:val="20"/>
          <w:lang w:val="en-GB"/>
        </w:rPr>
        <w:t xml:space="preserve">: Historia de </w:t>
      </w:r>
      <w:proofErr w:type="spellStart"/>
      <w:r w:rsidRPr="00BD62E7">
        <w:rPr>
          <w:i/>
          <w:iCs/>
          <w:color w:val="231F20"/>
          <w:sz w:val="20"/>
          <w:szCs w:val="20"/>
          <w:lang w:val="en-GB"/>
        </w:rPr>
        <w:t>una</w:t>
      </w:r>
      <w:proofErr w:type="spellEnd"/>
      <w:r w:rsidRPr="00BD62E7">
        <w:rPr>
          <w:i/>
          <w:iCs/>
          <w:color w:val="231F20"/>
          <w:sz w:val="20"/>
          <w:szCs w:val="20"/>
          <w:lang w:val="en-GB"/>
        </w:rPr>
        <w:t xml:space="preserve"> </w:t>
      </w:r>
      <w:proofErr w:type="spellStart"/>
      <w:r w:rsidRPr="00BD62E7">
        <w:rPr>
          <w:i/>
          <w:iCs/>
          <w:color w:val="231F20"/>
          <w:sz w:val="20"/>
          <w:szCs w:val="20"/>
          <w:lang w:val="en-GB"/>
        </w:rPr>
        <w:t>fuga</w:t>
      </w:r>
      <w:proofErr w:type="spellEnd"/>
      <w:r w:rsidRPr="00BD62E7">
        <w:rPr>
          <w:color w:val="231F20"/>
          <w:sz w:val="20"/>
          <w:szCs w:val="20"/>
          <w:lang w:val="en-GB"/>
        </w:rPr>
        <w:t xml:space="preserve"> (Netflix, 2023) the narrative focus is directed towards the criminal figure. In the remaining cases where a male protagonist occupies the centre of the narrative (36%), the victims are multiple and include both women and men. This pattern is evident in </w:t>
      </w:r>
      <w:proofErr w:type="spellStart"/>
      <w:r w:rsidRPr="00BD62E7">
        <w:rPr>
          <w:i/>
          <w:iCs/>
          <w:color w:val="231F20"/>
          <w:sz w:val="20"/>
          <w:szCs w:val="20"/>
          <w:lang w:val="en-GB"/>
        </w:rPr>
        <w:t>Baraja</w:t>
      </w:r>
      <w:proofErr w:type="spellEnd"/>
      <w:r w:rsidRPr="00BD62E7">
        <w:rPr>
          <w:i/>
          <w:iCs/>
          <w:color w:val="231F20"/>
          <w:sz w:val="20"/>
          <w:szCs w:val="20"/>
          <w:lang w:val="en-GB"/>
        </w:rPr>
        <w:t xml:space="preserve">: la </w:t>
      </w:r>
      <w:proofErr w:type="spellStart"/>
      <w:r w:rsidRPr="00BD62E7">
        <w:rPr>
          <w:i/>
          <w:iCs/>
          <w:color w:val="231F20"/>
          <w:sz w:val="20"/>
          <w:szCs w:val="20"/>
          <w:lang w:val="en-GB"/>
        </w:rPr>
        <w:t>firma</w:t>
      </w:r>
      <w:proofErr w:type="spellEnd"/>
      <w:r w:rsidRPr="00BD62E7">
        <w:rPr>
          <w:i/>
          <w:iCs/>
          <w:color w:val="231F20"/>
          <w:sz w:val="20"/>
          <w:szCs w:val="20"/>
          <w:lang w:val="en-GB"/>
        </w:rPr>
        <w:t xml:space="preserve"> del </w:t>
      </w:r>
      <w:proofErr w:type="spellStart"/>
      <w:r w:rsidRPr="00BD62E7">
        <w:rPr>
          <w:i/>
          <w:iCs/>
          <w:color w:val="231F20"/>
          <w:sz w:val="20"/>
          <w:szCs w:val="20"/>
          <w:lang w:val="en-GB"/>
        </w:rPr>
        <w:t>asesino</w:t>
      </w:r>
      <w:proofErr w:type="spellEnd"/>
      <w:r w:rsidRPr="00BD62E7">
        <w:rPr>
          <w:color w:val="231F20"/>
          <w:sz w:val="20"/>
          <w:szCs w:val="20"/>
          <w:lang w:val="en-GB"/>
        </w:rPr>
        <w:t xml:space="preserve"> (Netflix, 2024), which addresses the figure of a serial killer, and in </w:t>
      </w:r>
      <w:r w:rsidRPr="00BD62E7">
        <w:rPr>
          <w:i/>
          <w:iCs/>
          <w:color w:val="231F20"/>
          <w:sz w:val="20"/>
          <w:szCs w:val="20"/>
          <w:lang w:val="en-GB"/>
        </w:rPr>
        <w:t xml:space="preserve">No se lo </w:t>
      </w:r>
      <w:proofErr w:type="spellStart"/>
      <w:r w:rsidRPr="00BD62E7">
        <w:rPr>
          <w:i/>
          <w:iCs/>
          <w:color w:val="231F20"/>
          <w:sz w:val="20"/>
          <w:szCs w:val="20"/>
          <w:lang w:val="en-GB"/>
        </w:rPr>
        <w:t>digas</w:t>
      </w:r>
      <w:proofErr w:type="spellEnd"/>
      <w:r w:rsidRPr="00BD62E7">
        <w:rPr>
          <w:i/>
          <w:iCs/>
          <w:color w:val="231F20"/>
          <w:sz w:val="20"/>
          <w:szCs w:val="20"/>
          <w:lang w:val="en-GB"/>
        </w:rPr>
        <w:t xml:space="preserve"> a </w:t>
      </w:r>
      <w:proofErr w:type="spellStart"/>
      <w:r w:rsidRPr="00BD62E7">
        <w:rPr>
          <w:i/>
          <w:iCs/>
          <w:color w:val="231F20"/>
          <w:sz w:val="20"/>
          <w:szCs w:val="20"/>
          <w:lang w:val="en-GB"/>
        </w:rPr>
        <w:t>nadie</w:t>
      </w:r>
      <w:proofErr w:type="spellEnd"/>
      <w:r w:rsidRPr="00BD62E7">
        <w:rPr>
          <w:color w:val="231F20"/>
          <w:sz w:val="20"/>
          <w:szCs w:val="20"/>
          <w:lang w:val="en-GB"/>
        </w:rPr>
        <w:t xml:space="preserve"> (</w:t>
      </w:r>
      <w:proofErr w:type="spellStart"/>
      <w:r w:rsidRPr="00BD62E7">
        <w:rPr>
          <w:color w:val="231F20"/>
          <w:sz w:val="20"/>
          <w:szCs w:val="20"/>
          <w:lang w:val="en-GB"/>
        </w:rPr>
        <w:t>Atresplayer</w:t>
      </w:r>
      <w:proofErr w:type="spellEnd"/>
      <w:r w:rsidRPr="00BD62E7">
        <w:rPr>
          <w:color w:val="231F20"/>
          <w:sz w:val="20"/>
          <w:szCs w:val="20"/>
          <w:lang w:val="en-GB"/>
        </w:rPr>
        <w:t>, 2023), centred on the murder of an entire family.</w:t>
      </w:r>
    </w:p>
    <w:p w14:paraId="35700BAE" w14:textId="77777777" w:rsidR="00083156" w:rsidRPr="00BD62E7" w:rsidRDefault="00083156">
      <w:pPr>
        <w:widowControl/>
        <w:pBdr>
          <w:top w:val="nil"/>
          <w:left w:val="nil"/>
          <w:bottom w:val="nil"/>
          <w:right w:val="nil"/>
          <w:between w:val="nil"/>
        </w:pBdr>
        <w:spacing w:after="80"/>
        <w:ind w:left="426" w:right="370"/>
        <w:jc w:val="both"/>
        <w:rPr>
          <w:color w:val="231F20"/>
          <w:sz w:val="20"/>
          <w:szCs w:val="20"/>
          <w:lang w:val="en-GB"/>
        </w:rPr>
      </w:pPr>
    </w:p>
    <w:p w14:paraId="267CE5FC" w14:textId="77777777" w:rsidR="00083156" w:rsidRPr="00BD62E7" w:rsidRDefault="00000000">
      <w:pPr>
        <w:pStyle w:val="Ttulo1"/>
        <w:widowControl/>
        <w:spacing w:after="80"/>
        <w:ind w:left="426"/>
        <w:rPr>
          <w:rFonts w:ascii="Garamond" w:eastAsia="Garamond" w:hAnsi="Garamond" w:cs="Garamond"/>
          <w:i/>
          <w:iCs/>
          <w:color w:val="98361E"/>
          <w:lang w:val="en-GB"/>
        </w:rPr>
      </w:pPr>
      <w:r w:rsidRPr="00BD62E7">
        <w:rPr>
          <w:rFonts w:ascii="Garamond" w:eastAsia="Garamond" w:hAnsi="Garamond" w:cs="Garamond"/>
          <w:i/>
          <w:iCs/>
          <w:color w:val="98361E"/>
          <w:lang w:val="en-GB"/>
        </w:rPr>
        <w:t>4.4. Victim and perpetrator profile</w:t>
      </w:r>
    </w:p>
    <w:p w14:paraId="208FAADF" w14:textId="77777777" w:rsidR="00083156" w:rsidRPr="00BD62E7" w:rsidRDefault="00000000">
      <w:pPr>
        <w:pStyle w:val="Ttulo1"/>
        <w:widowControl/>
        <w:spacing w:after="80"/>
        <w:ind w:left="426" w:right="370"/>
        <w:jc w:val="both"/>
        <w:rPr>
          <w:rFonts w:ascii="Garamond" w:eastAsia="Garamond" w:hAnsi="Garamond" w:cs="Garamond"/>
          <w:sz w:val="20"/>
          <w:szCs w:val="20"/>
          <w:lang w:val="en-GB"/>
        </w:rPr>
      </w:pPr>
      <w:r w:rsidRPr="00BD62E7">
        <w:rPr>
          <w:rFonts w:ascii="Garamond" w:eastAsia="Garamond" w:hAnsi="Garamond" w:cs="Garamond"/>
          <w:sz w:val="20"/>
          <w:szCs w:val="20"/>
          <w:lang w:val="en-GB"/>
        </w:rPr>
        <w:t xml:space="preserve">The analysis of the gender of the victims in the cases addressed by the true crime productions shows a relatively balanced distribution between women and men, with a slight predominance of male victims. There are 13 cases in which the victims are exclusively female, including some of the most mediatised and emblematic crimes in recent Spanish criminal history, such as the </w:t>
      </w:r>
      <w:proofErr w:type="spellStart"/>
      <w:r w:rsidRPr="00BD62E7">
        <w:rPr>
          <w:rFonts w:ascii="Garamond" w:eastAsia="Garamond" w:hAnsi="Garamond" w:cs="Garamond"/>
          <w:sz w:val="20"/>
          <w:szCs w:val="20"/>
          <w:lang w:val="en-GB"/>
        </w:rPr>
        <w:t>Alcàsser</w:t>
      </w:r>
      <w:proofErr w:type="spellEnd"/>
      <w:r w:rsidRPr="00BD62E7">
        <w:rPr>
          <w:rFonts w:ascii="Garamond" w:eastAsia="Garamond" w:hAnsi="Garamond" w:cs="Garamond"/>
          <w:sz w:val="20"/>
          <w:szCs w:val="20"/>
          <w:lang w:val="en-GB"/>
        </w:rPr>
        <w:t xml:space="preserve"> case, Anabel Segura, Rocío </w:t>
      </w:r>
      <w:proofErr w:type="spellStart"/>
      <w:r w:rsidRPr="00BD62E7">
        <w:rPr>
          <w:rFonts w:ascii="Garamond" w:eastAsia="Garamond" w:hAnsi="Garamond" w:cs="Garamond"/>
          <w:sz w:val="20"/>
          <w:szCs w:val="20"/>
          <w:lang w:val="en-GB"/>
        </w:rPr>
        <w:t>Wanninkhof</w:t>
      </w:r>
      <w:proofErr w:type="spellEnd"/>
      <w:r w:rsidRPr="00BD62E7">
        <w:rPr>
          <w:rFonts w:ascii="Garamond" w:eastAsia="Garamond" w:hAnsi="Garamond" w:cs="Garamond"/>
          <w:sz w:val="20"/>
          <w:szCs w:val="20"/>
          <w:lang w:val="en-GB"/>
        </w:rPr>
        <w:t xml:space="preserve">, Marta del Castillo or Asunta Basterra. Similarly, cases involving exclusively male victims also total 13, including highly prominent events such as the Sancho crime, the Guardia Urbana crime or the </w:t>
      </w:r>
      <w:proofErr w:type="spellStart"/>
      <w:r w:rsidRPr="00BD62E7">
        <w:rPr>
          <w:rFonts w:ascii="Garamond" w:eastAsia="Garamond" w:hAnsi="Garamond" w:cs="Garamond"/>
          <w:sz w:val="20"/>
          <w:szCs w:val="20"/>
          <w:lang w:val="en-GB"/>
        </w:rPr>
        <w:t>Patraix</w:t>
      </w:r>
      <w:proofErr w:type="spellEnd"/>
      <w:r w:rsidRPr="00BD62E7">
        <w:rPr>
          <w:rFonts w:ascii="Garamond" w:eastAsia="Garamond" w:hAnsi="Garamond" w:cs="Garamond"/>
          <w:sz w:val="20"/>
          <w:szCs w:val="20"/>
          <w:lang w:val="en-GB"/>
        </w:rPr>
        <w:t xml:space="preserve"> crime. In addition, there are five productions that include victims of both genders, reflecting the complexity and diversity of certain criminal events that affect multiple individuals. This variety shows that platforms and production companies are not limited to a single victim </w:t>
      </w:r>
      <w:proofErr w:type="gramStart"/>
      <w:r w:rsidRPr="00BD62E7">
        <w:rPr>
          <w:rFonts w:ascii="Garamond" w:eastAsia="Garamond" w:hAnsi="Garamond" w:cs="Garamond"/>
          <w:sz w:val="20"/>
          <w:szCs w:val="20"/>
          <w:lang w:val="en-GB"/>
        </w:rPr>
        <w:t>profile, but</w:t>
      </w:r>
      <w:proofErr w:type="gramEnd"/>
      <w:r w:rsidRPr="00BD62E7">
        <w:rPr>
          <w:rFonts w:ascii="Garamond" w:eastAsia="Garamond" w:hAnsi="Garamond" w:cs="Garamond"/>
          <w:sz w:val="20"/>
          <w:szCs w:val="20"/>
          <w:lang w:val="en-GB"/>
        </w:rPr>
        <w:t xml:space="preserve"> instead explore a broad range of narratives that contribute to a more plural and comprehensive view of the criminal phenomenon.</w:t>
      </w:r>
    </w:p>
    <w:p w14:paraId="429AFAF0" w14:textId="77777777" w:rsidR="00083156" w:rsidRPr="00BD62E7" w:rsidRDefault="00000000">
      <w:pPr>
        <w:pStyle w:val="Ttulo1"/>
        <w:widowControl/>
        <w:spacing w:after="80"/>
        <w:ind w:left="426" w:right="370"/>
        <w:jc w:val="both"/>
        <w:rPr>
          <w:rFonts w:ascii="Garamond" w:eastAsia="Garamond" w:hAnsi="Garamond" w:cs="Garamond"/>
          <w:sz w:val="20"/>
          <w:szCs w:val="20"/>
          <w:lang w:val="en-GB"/>
        </w:rPr>
      </w:pPr>
      <w:proofErr w:type="gramStart"/>
      <w:r w:rsidRPr="00BD62E7">
        <w:rPr>
          <w:rFonts w:ascii="Garamond" w:eastAsia="Garamond" w:hAnsi="Garamond" w:cs="Garamond"/>
          <w:sz w:val="20"/>
          <w:szCs w:val="20"/>
          <w:lang w:val="en-GB"/>
        </w:rPr>
        <w:t>With regard to</w:t>
      </w:r>
      <w:proofErr w:type="gramEnd"/>
      <w:r w:rsidRPr="00BD62E7">
        <w:rPr>
          <w:rFonts w:ascii="Garamond" w:eastAsia="Garamond" w:hAnsi="Garamond" w:cs="Garamond"/>
          <w:sz w:val="20"/>
          <w:szCs w:val="20"/>
          <w:lang w:val="en-GB"/>
        </w:rPr>
        <w:t xml:space="preserve"> the age of the victims, a clear predominance of adults is revealed, representing </w:t>
      </w:r>
      <w:proofErr w:type="gramStart"/>
      <w:r w:rsidRPr="00BD62E7">
        <w:rPr>
          <w:rFonts w:ascii="Garamond" w:eastAsia="Garamond" w:hAnsi="Garamond" w:cs="Garamond"/>
          <w:sz w:val="20"/>
          <w:szCs w:val="20"/>
          <w:lang w:val="en-GB"/>
        </w:rPr>
        <w:t>the majority of</w:t>
      </w:r>
      <w:proofErr w:type="gramEnd"/>
      <w:r w:rsidRPr="00BD62E7">
        <w:rPr>
          <w:rFonts w:ascii="Garamond" w:eastAsia="Garamond" w:hAnsi="Garamond" w:cs="Garamond"/>
          <w:sz w:val="20"/>
          <w:szCs w:val="20"/>
          <w:lang w:val="en-GB"/>
        </w:rPr>
        <w:t xml:space="preserve"> the cases analysed with a total of 25. However, there is also a significant presence of younger victims, with five adolescents and two girls, in addition to one case in which both adult and child victims are present. This diversity reflects the variety of contexts and criminal dynamics explored in these productions, which do not restrict themselves exclusively to an adult profile, but also include vulnerable populations such as minors.</w:t>
      </w:r>
    </w:p>
    <w:p w14:paraId="4E999F6E" w14:textId="77777777" w:rsidR="00083156" w:rsidRPr="00BD62E7" w:rsidRDefault="00000000">
      <w:pPr>
        <w:pStyle w:val="Ttulo1"/>
        <w:widowControl/>
        <w:spacing w:after="80"/>
        <w:ind w:left="426" w:right="370"/>
        <w:jc w:val="both"/>
        <w:rPr>
          <w:rFonts w:ascii="Garamond" w:eastAsia="Garamond" w:hAnsi="Garamond" w:cs="Garamond"/>
          <w:sz w:val="20"/>
          <w:szCs w:val="20"/>
          <w:lang w:val="en-GB"/>
        </w:rPr>
      </w:pPr>
      <w:r w:rsidRPr="00BD62E7">
        <w:rPr>
          <w:rFonts w:ascii="Garamond" w:eastAsia="Garamond" w:hAnsi="Garamond" w:cs="Garamond"/>
          <w:sz w:val="20"/>
          <w:szCs w:val="20"/>
          <w:lang w:val="en-GB"/>
        </w:rPr>
        <w:t>The analysis of the gender of perpetrators in true crime productions shows a clear predominance of male offenders, with 20 cases. These include well</w:t>
      </w:r>
      <w:r w:rsidRPr="00BD62E7">
        <w:rPr>
          <w:rFonts w:ascii="Cambria Math" w:eastAsia="Cambria Math" w:hAnsi="Cambria Math" w:cs="Cambria Math"/>
          <w:sz w:val="20"/>
          <w:szCs w:val="20"/>
          <w:lang w:val="en-GB"/>
        </w:rPr>
        <w:t>‑</w:t>
      </w:r>
      <w:r w:rsidRPr="00BD62E7">
        <w:rPr>
          <w:rFonts w:ascii="Garamond" w:eastAsia="Garamond" w:hAnsi="Garamond" w:cs="Garamond"/>
          <w:sz w:val="20"/>
          <w:szCs w:val="20"/>
          <w:lang w:val="en-GB"/>
        </w:rPr>
        <w:t xml:space="preserve">known figures such as Pablo Ibar, the perpetrators of the </w:t>
      </w:r>
      <w:proofErr w:type="spellStart"/>
      <w:r w:rsidRPr="00BD62E7">
        <w:rPr>
          <w:rFonts w:ascii="Garamond" w:eastAsia="Garamond" w:hAnsi="Garamond" w:cs="Garamond"/>
          <w:sz w:val="20"/>
          <w:szCs w:val="20"/>
          <w:lang w:val="en-GB"/>
        </w:rPr>
        <w:t>Alcàsser</w:t>
      </w:r>
      <w:proofErr w:type="spellEnd"/>
      <w:r w:rsidRPr="00BD62E7">
        <w:rPr>
          <w:rFonts w:ascii="Garamond" w:eastAsia="Garamond" w:hAnsi="Garamond" w:cs="Garamond"/>
          <w:sz w:val="20"/>
          <w:szCs w:val="20"/>
          <w:lang w:val="en-GB"/>
        </w:rPr>
        <w:t xml:space="preserve"> crime and the “Rey del </w:t>
      </w:r>
      <w:proofErr w:type="spellStart"/>
      <w:r w:rsidRPr="00BD62E7">
        <w:rPr>
          <w:rFonts w:ascii="Garamond" w:eastAsia="Garamond" w:hAnsi="Garamond" w:cs="Garamond"/>
          <w:sz w:val="20"/>
          <w:szCs w:val="20"/>
          <w:lang w:val="en-GB"/>
        </w:rPr>
        <w:t>Cachopo</w:t>
      </w:r>
      <w:proofErr w:type="spellEnd"/>
      <w:r w:rsidRPr="00BD62E7">
        <w:rPr>
          <w:rFonts w:ascii="Garamond" w:eastAsia="Garamond" w:hAnsi="Garamond" w:cs="Garamond"/>
          <w:sz w:val="20"/>
          <w:szCs w:val="20"/>
          <w:lang w:val="en-GB"/>
        </w:rPr>
        <w:t>”. In contrast, cases involving female perpetrators are less frequent, with only 3 instances, although no less relevant, notably the murder of the president of the León provincial council. Meanwhile, the category of mixed perpetrators, represented in 7 cases, introduces complex criminal dynamics in which the woman plays a role of manipulation or co</w:t>
      </w:r>
      <w:r w:rsidRPr="00BD62E7">
        <w:rPr>
          <w:rFonts w:ascii="Cambria Math" w:eastAsia="Cambria Math" w:hAnsi="Cambria Math" w:cs="Cambria Math"/>
          <w:sz w:val="20"/>
          <w:szCs w:val="20"/>
          <w:lang w:val="en-GB"/>
        </w:rPr>
        <w:t>‑</w:t>
      </w:r>
      <w:r w:rsidRPr="00BD62E7">
        <w:rPr>
          <w:rFonts w:ascii="Garamond" w:eastAsia="Garamond" w:hAnsi="Garamond" w:cs="Garamond"/>
          <w:sz w:val="20"/>
          <w:szCs w:val="20"/>
          <w:lang w:val="en-GB"/>
        </w:rPr>
        <w:t xml:space="preserve">participation, as occurs in the cases of Rosa Peral or Maje Moreno, women who decisively influenced the commission of the crime by their lovers. This category also includes the case of Asunta </w:t>
      </w:r>
      <w:proofErr w:type="spellStart"/>
      <w:r w:rsidRPr="00BD62E7">
        <w:rPr>
          <w:rFonts w:ascii="Garamond" w:eastAsia="Garamond" w:hAnsi="Garamond" w:cs="Garamond"/>
          <w:sz w:val="20"/>
          <w:szCs w:val="20"/>
          <w:lang w:val="en-GB"/>
        </w:rPr>
        <w:t>Basterra’s</w:t>
      </w:r>
      <w:proofErr w:type="spellEnd"/>
      <w:r w:rsidRPr="00BD62E7">
        <w:rPr>
          <w:rFonts w:ascii="Garamond" w:eastAsia="Garamond" w:hAnsi="Garamond" w:cs="Garamond"/>
          <w:sz w:val="20"/>
          <w:szCs w:val="20"/>
          <w:lang w:val="en-GB"/>
        </w:rPr>
        <w:t xml:space="preserve"> parents, whose exact responsibility and participation remain subject to debate and controversy. These mixed profiles enrich the narrative of true crime by exploring personal relationships and complex motivations beyond the figure of the individual perpetrator.</w:t>
      </w:r>
    </w:p>
    <w:p w14:paraId="76861B6B" w14:textId="77777777" w:rsidR="00083156" w:rsidRPr="00BD62E7" w:rsidRDefault="00000000">
      <w:pPr>
        <w:pStyle w:val="Ttulo1"/>
        <w:widowControl/>
        <w:spacing w:after="80"/>
        <w:ind w:left="426" w:right="370"/>
        <w:jc w:val="both"/>
        <w:rPr>
          <w:rFonts w:ascii="Garamond" w:eastAsia="Garamond" w:hAnsi="Garamond" w:cs="Garamond"/>
          <w:sz w:val="20"/>
          <w:szCs w:val="20"/>
          <w:lang w:val="en-GB"/>
        </w:rPr>
      </w:pPr>
      <w:r w:rsidRPr="00BD62E7">
        <w:rPr>
          <w:rFonts w:ascii="Garamond" w:eastAsia="Garamond" w:hAnsi="Garamond" w:cs="Garamond"/>
          <w:sz w:val="20"/>
          <w:szCs w:val="20"/>
          <w:lang w:val="en-GB"/>
        </w:rPr>
        <w:t xml:space="preserve">In most of the cases analysed, the perpetrators are adults, which is consistent with the nature of complex crimes with high media impact. The predominance of adults reflects the involvement of individuals with a degree of autonomy and legal responsibility in the criminal acts. One case stands out for involving both adults and minors, </w:t>
      </w:r>
      <w:r w:rsidRPr="00BD62E7">
        <w:rPr>
          <w:rFonts w:ascii="Garamond" w:eastAsia="Garamond" w:hAnsi="Garamond" w:cs="Garamond"/>
          <w:i/>
          <w:iCs/>
          <w:sz w:val="20"/>
          <w:szCs w:val="20"/>
          <w:lang w:val="en-GB"/>
        </w:rPr>
        <w:t>¿</w:t>
      </w:r>
      <w:proofErr w:type="spellStart"/>
      <w:r w:rsidRPr="00BD62E7">
        <w:rPr>
          <w:rFonts w:ascii="Garamond" w:eastAsia="Garamond" w:hAnsi="Garamond" w:cs="Garamond"/>
          <w:i/>
          <w:iCs/>
          <w:sz w:val="20"/>
          <w:szCs w:val="20"/>
          <w:lang w:val="en-GB"/>
        </w:rPr>
        <w:t>Dónde</w:t>
      </w:r>
      <w:proofErr w:type="spellEnd"/>
      <w:r w:rsidRPr="00BD62E7">
        <w:rPr>
          <w:rFonts w:ascii="Garamond" w:eastAsia="Garamond" w:hAnsi="Garamond" w:cs="Garamond"/>
          <w:i/>
          <w:iCs/>
          <w:sz w:val="20"/>
          <w:szCs w:val="20"/>
          <w:lang w:val="en-GB"/>
        </w:rPr>
        <w:t xml:space="preserve"> </w:t>
      </w:r>
      <w:proofErr w:type="spellStart"/>
      <w:r w:rsidRPr="00BD62E7">
        <w:rPr>
          <w:rFonts w:ascii="Garamond" w:eastAsia="Garamond" w:hAnsi="Garamond" w:cs="Garamond"/>
          <w:i/>
          <w:iCs/>
          <w:sz w:val="20"/>
          <w:szCs w:val="20"/>
          <w:lang w:val="en-GB"/>
        </w:rPr>
        <w:t>está</w:t>
      </w:r>
      <w:proofErr w:type="spellEnd"/>
      <w:r w:rsidRPr="00BD62E7">
        <w:rPr>
          <w:rFonts w:ascii="Garamond" w:eastAsia="Garamond" w:hAnsi="Garamond" w:cs="Garamond"/>
          <w:i/>
          <w:iCs/>
          <w:sz w:val="20"/>
          <w:szCs w:val="20"/>
          <w:lang w:val="en-GB"/>
        </w:rPr>
        <w:t xml:space="preserve"> Marta?</w:t>
      </w:r>
      <w:r w:rsidRPr="00BD62E7">
        <w:rPr>
          <w:rFonts w:ascii="Garamond" w:eastAsia="Garamond" w:hAnsi="Garamond" w:cs="Garamond"/>
          <w:sz w:val="20"/>
          <w:szCs w:val="20"/>
          <w:lang w:val="en-GB"/>
        </w:rPr>
        <w:t xml:space="preserve"> (Netflix, 2021), which introduces an additional layer of complexity and the </w:t>
      </w:r>
      <w:r w:rsidRPr="00BD62E7">
        <w:rPr>
          <w:rFonts w:ascii="Garamond" w:eastAsia="Garamond" w:hAnsi="Garamond" w:cs="Garamond"/>
          <w:sz w:val="20"/>
          <w:szCs w:val="20"/>
          <w:lang w:val="en-GB"/>
        </w:rPr>
        <w:lastRenderedPageBreak/>
        <w:t>possibility of intergenerational influence in the crime. The absence of precise data in some cases limits a deeper analysis, but the clear trend indicates that the crimes documented in these productions are primarily perpetrated by adults.</w:t>
      </w:r>
    </w:p>
    <w:p w14:paraId="11D6DD9F" w14:textId="77777777" w:rsidR="00083156" w:rsidRPr="00BD62E7" w:rsidRDefault="00083156">
      <w:pPr>
        <w:ind w:right="370"/>
        <w:jc w:val="both"/>
        <w:rPr>
          <w:lang w:val="en-GB"/>
        </w:rPr>
      </w:pPr>
    </w:p>
    <w:p w14:paraId="7B00D913" w14:textId="77777777" w:rsidR="00083156" w:rsidRPr="00BD62E7" w:rsidRDefault="00000000">
      <w:pPr>
        <w:pStyle w:val="Ttulo1"/>
        <w:widowControl/>
        <w:spacing w:after="80"/>
        <w:ind w:left="426"/>
        <w:rPr>
          <w:rFonts w:ascii="Garamond" w:eastAsia="Garamond" w:hAnsi="Garamond" w:cs="Garamond"/>
          <w:i/>
          <w:iCs/>
          <w:color w:val="98361E"/>
          <w:lang w:val="en-GB"/>
        </w:rPr>
      </w:pPr>
      <w:bookmarkStart w:id="0" w:name="_heading=h.6cw7j7gwqm9u" w:colFirst="0" w:colLast="0"/>
      <w:bookmarkEnd w:id="0"/>
      <w:r w:rsidRPr="00BD62E7">
        <w:rPr>
          <w:rFonts w:ascii="Garamond" w:eastAsia="Garamond" w:hAnsi="Garamond" w:cs="Garamond"/>
          <w:i/>
          <w:iCs/>
          <w:color w:val="98361E"/>
          <w:lang w:val="en-GB"/>
        </w:rPr>
        <w:t xml:space="preserve">4.5. Victim-offender </w:t>
      </w:r>
      <w:proofErr w:type="spellStart"/>
      <w:r w:rsidRPr="00BD62E7">
        <w:rPr>
          <w:rFonts w:ascii="Garamond" w:eastAsia="Garamond" w:hAnsi="Garamond" w:cs="Garamond"/>
          <w:i/>
          <w:iCs/>
          <w:color w:val="98361E"/>
          <w:lang w:val="en-GB"/>
        </w:rPr>
        <w:t>relatioship</w:t>
      </w:r>
      <w:proofErr w:type="spellEnd"/>
      <w:r w:rsidRPr="00BD62E7">
        <w:rPr>
          <w:rFonts w:ascii="Garamond" w:eastAsia="Garamond" w:hAnsi="Garamond" w:cs="Garamond"/>
          <w:i/>
          <w:iCs/>
          <w:color w:val="98361E"/>
          <w:lang w:val="en-GB"/>
        </w:rPr>
        <w:t xml:space="preserve"> and crime characteristics</w:t>
      </w:r>
    </w:p>
    <w:p w14:paraId="6A94B692" w14:textId="77777777" w:rsidR="00083156" w:rsidRPr="00BD62E7" w:rsidRDefault="00000000">
      <w:pPr>
        <w:widowControl/>
        <w:pBdr>
          <w:top w:val="nil"/>
          <w:left w:val="nil"/>
          <w:bottom w:val="nil"/>
          <w:right w:val="nil"/>
          <w:between w:val="nil"/>
        </w:pBdr>
        <w:spacing w:after="80"/>
        <w:ind w:left="426" w:right="370"/>
        <w:jc w:val="both"/>
        <w:rPr>
          <w:color w:val="000000"/>
          <w:sz w:val="20"/>
          <w:szCs w:val="20"/>
          <w:lang w:val="en-GB"/>
        </w:rPr>
      </w:pPr>
      <w:proofErr w:type="gramStart"/>
      <w:r w:rsidRPr="00BD62E7">
        <w:rPr>
          <w:color w:val="000000"/>
          <w:sz w:val="20"/>
          <w:szCs w:val="20"/>
          <w:lang w:val="en-GB"/>
        </w:rPr>
        <w:t>With regard to</w:t>
      </w:r>
      <w:proofErr w:type="gramEnd"/>
      <w:r w:rsidRPr="00BD62E7">
        <w:rPr>
          <w:color w:val="000000"/>
          <w:sz w:val="20"/>
          <w:szCs w:val="20"/>
          <w:lang w:val="en-GB"/>
        </w:rPr>
        <w:t xml:space="preserve"> the relationship between victim and offender, the data reveal that the most common category is that in which no prior link exists, with 11 of the 35 cases analysed. This group includes crimes committed by strangers, without any previous personal relationship, which reinforces the narrative of random danger and generates a strong emotional impact on the audience. Emblematic cases within this category include the </w:t>
      </w:r>
      <w:proofErr w:type="spellStart"/>
      <w:r w:rsidRPr="00BD62E7">
        <w:rPr>
          <w:color w:val="000000"/>
          <w:sz w:val="20"/>
          <w:szCs w:val="20"/>
          <w:lang w:val="en-GB"/>
        </w:rPr>
        <w:t>Alcàsser</w:t>
      </w:r>
      <w:proofErr w:type="spellEnd"/>
      <w:r w:rsidRPr="00BD62E7">
        <w:rPr>
          <w:color w:val="000000"/>
          <w:sz w:val="20"/>
          <w:szCs w:val="20"/>
          <w:lang w:val="en-GB"/>
        </w:rPr>
        <w:t xml:space="preserve"> case, the </w:t>
      </w:r>
      <w:proofErr w:type="spellStart"/>
      <w:r w:rsidRPr="00BD62E7">
        <w:rPr>
          <w:color w:val="000000"/>
          <w:sz w:val="20"/>
          <w:szCs w:val="20"/>
          <w:lang w:val="en-GB"/>
        </w:rPr>
        <w:t>Wanninkhof</w:t>
      </w:r>
      <w:proofErr w:type="spellEnd"/>
      <w:r w:rsidRPr="00BD62E7">
        <w:rPr>
          <w:color w:val="000000"/>
          <w:sz w:val="20"/>
          <w:szCs w:val="20"/>
          <w:lang w:val="en-GB"/>
        </w:rPr>
        <w:t xml:space="preserve"> case and the Miramar crimes, all of them with at least two productions each, which confirms their centrality within the imaginary of contemporary </w:t>
      </w:r>
      <w:proofErr w:type="spellStart"/>
      <w:r w:rsidRPr="00BD62E7">
        <w:rPr>
          <w:color w:val="000000"/>
          <w:sz w:val="20"/>
          <w:szCs w:val="20"/>
          <w:lang w:val="en-GB"/>
        </w:rPr>
        <w:t>spanish</w:t>
      </w:r>
      <w:proofErr w:type="spellEnd"/>
      <w:r w:rsidRPr="00BD62E7">
        <w:rPr>
          <w:color w:val="000000"/>
          <w:sz w:val="20"/>
          <w:szCs w:val="20"/>
          <w:lang w:val="en-GB"/>
        </w:rPr>
        <w:t xml:space="preserve"> true crime.</w:t>
      </w:r>
    </w:p>
    <w:p w14:paraId="662CE4DD" w14:textId="77777777" w:rsidR="00083156" w:rsidRPr="00BD62E7" w:rsidRDefault="00083156">
      <w:pPr>
        <w:widowControl/>
        <w:pBdr>
          <w:top w:val="nil"/>
          <w:left w:val="nil"/>
          <w:bottom w:val="nil"/>
          <w:right w:val="nil"/>
          <w:between w:val="nil"/>
        </w:pBdr>
        <w:spacing w:after="80"/>
        <w:ind w:left="426" w:right="370"/>
        <w:jc w:val="both"/>
        <w:rPr>
          <w:color w:val="000000"/>
          <w:sz w:val="20"/>
          <w:szCs w:val="20"/>
          <w:lang w:val="en-GB"/>
        </w:rPr>
      </w:pPr>
    </w:p>
    <w:p w14:paraId="6354ECB7" w14:textId="6CFC7617" w:rsidR="00083156" w:rsidRPr="00885AFD" w:rsidRDefault="00000000">
      <w:pPr>
        <w:widowControl/>
        <w:pBdr>
          <w:top w:val="nil"/>
          <w:left w:val="nil"/>
          <w:bottom w:val="nil"/>
          <w:right w:val="nil"/>
          <w:between w:val="nil"/>
        </w:pBdr>
        <w:spacing w:after="80"/>
        <w:ind w:left="426" w:right="370"/>
        <w:jc w:val="center"/>
        <w:rPr>
          <w:rFonts w:ascii="Arial" w:eastAsia="Arial" w:hAnsi="Arial" w:cs="Arial"/>
          <w:lang w:val="en-GB"/>
        </w:rPr>
      </w:pPr>
      <w:r>
        <w:rPr>
          <w:color w:val="000000"/>
          <w:sz w:val="20"/>
          <w:szCs w:val="20"/>
        </w:rPr>
        <w:t xml:space="preserve">Table 4. </w:t>
      </w:r>
      <w:r w:rsidR="00885AFD" w:rsidRPr="00885AFD">
        <w:rPr>
          <w:sz w:val="20"/>
          <w:szCs w:val="20"/>
          <w:lang w:val="en-GB"/>
        </w:rPr>
        <w:t>Frequency of victim-perpetrator relationships in true crime productions</w:t>
      </w:r>
    </w:p>
    <w:tbl>
      <w:tblPr>
        <w:tblStyle w:val="af5"/>
        <w:tblW w:w="6825"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0"/>
        <w:gridCol w:w="3275"/>
      </w:tblGrid>
      <w:tr w:rsidR="00083156" w14:paraId="5F5A806D" w14:textId="77777777">
        <w:tc>
          <w:tcPr>
            <w:tcW w:w="3550"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4C0A210A" w14:textId="77777777" w:rsidR="00083156" w:rsidRDefault="00000000">
            <w:pPr>
              <w:jc w:val="center"/>
              <w:rPr>
                <w:sz w:val="20"/>
                <w:szCs w:val="20"/>
              </w:rPr>
            </w:pPr>
            <w:proofErr w:type="spellStart"/>
            <w:r>
              <w:rPr>
                <w:b/>
                <w:bCs/>
                <w:sz w:val="20"/>
                <w:szCs w:val="20"/>
              </w:rPr>
              <w:t>Relationship</w:t>
            </w:r>
            <w:proofErr w:type="spellEnd"/>
          </w:p>
        </w:tc>
        <w:tc>
          <w:tcPr>
            <w:tcW w:w="3275" w:type="dxa"/>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3BA26070" w14:textId="77777777" w:rsidR="00083156" w:rsidRDefault="00000000">
            <w:pPr>
              <w:jc w:val="center"/>
              <w:rPr>
                <w:sz w:val="20"/>
                <w:szCs w:val="20"/>
              </w:rPr>
            </w:pPr>
            <w:proofErr w:type="spellStart"/>
            <w:r>
              <w:rPr>
                <w:b/>
                <w:bCs/>
                <w:sz w:val="20"/>
                <w:szCs w:val="20"/>
              </w:rPr>
              <w:t>Occurrences</w:t>
            </w:r>
            <w:proofErr w:type="spellEnd"/>
          </w:p>
        </w:tc>
      </w:tr>
      <w:tr w:rsidR="00083156" w14:paraId="75D77A8E" w14:textId="77777777">
        <w:tc>
          <w:tcPr>
            <w:tcW w:w="35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FDCA56" w14:textId="77777777" w:rsidR="00083156" w:rsidRDefault="00000000">
            <w:pPr>
              <w:jc w:val="center"/>
              <w:rPr>
                <w:sz w:val="20"/>
                <w:szCs w:val="20"/>
              </w:rPr>
            </w:pPr>
            <w:r>
              <w:rPr>
                <w:sz w:val="20"/>
                <w:szCs w:val="20"/>
              </w:rPr>
              <w:t xml:space="preserve">No prior </w:t>
            </w:r>
            <w:proofErr w:type="gramStart"/>
            <w:r>
              <w:rPr>
                <w:sz w:val="20"/>
                <w:szCs w:val="20"/>
              </w:rPr>
              <w:t>link</w:t>
            </w:r>
            <w:proofErr w:type="gramEnd"/>
          </w:p>
        </w:tc>
        <w:tc>
          <w:tcPr>
            <w:tcW w:w="3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481EEE" w14:textId="77777777" w:rsidR="00083156" w:rsidRDefault="00000000">
            <w:pPr>
              <w:jc w:val="center"/>
              <w:rPr>
                <w:sz w:val="20"/>
                <w:szCs w:val="20"/>
              </w:rPr>
            </w:pPr>
            <w:r>
              <w:rPr>
                <w:sz w:val="20"/>
                <w:szCs w:val="20"/>
              </w:rPr>
              <w:t>11</w:t>
            </w:r>
          </w:p>
        </w:tc>
      </w:tr>
      <w:tr w:rsidR="00083156" w14:paraId="739852F9" w14:textId="77777777">
        <w:tc>
          <w:tcPr>
            <w:tcW w:w="35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85A194" w14:textId="77777777" w:rsidR="00083156" w:rsidRDefault="00000000">
            <w:pPr>
              <w:jc w:val="center"/>
              <w:rPr>
                <w:sz w:val="20"/>
                <w:szCs w:val="20"/>
              </w:rPr>
            </w:pPr>
            <w:proofErr w:type="spellStart"/>
            <w:r>
              <w:rPr>
                <w:sz w:val="20"/>
                <w:szCs w:val="20"/>
              </w:rPr>
              <w:t>Affective</w:t>
            </w:r>
            <w:proofErr w:type="spellEnd"/>
            <w:r>
              <w:rPr>
                <w:sz w:val="20"/>
                <w:szCs w:val="20"/>
              </w:rPr>
              <w:t xml:space="preserve"> </w:t>
            </w:r>
            <w:proofErr w:type="spellStart"/>
            <w:r>
              <w:rPr>
                <w:sz w:val="20"/>
                <w:szCs w:val="20"/>
              </w:rPr>
              <w:t>relationship</w:t>
            </w:r>
            <w:proofErr w:type="spellEnd"/>
            <w:r>
              <w:rPr>
                <w:sz w:val="20"/>
                <w:szCs w:val="20"/>
              </w:rPr>
              <w:t xml:space="preserve"> (</w:t>
            </w:r>
            <w:proofErr w:type="spellStart"/>
            <w:r>
              <w:rPr>
                <w:sz w:val="20"/>
                <w:szCs w:val="20"/>
              </w:rPr>
              <w:t>dating</w:t>
            </w:r>
            <w:proofErr w:type="spellEnd"/>
            <w:r>
              <w:rPr>
                <w:sz w:val="20"/>
                <w:szCs w:val="20"/>
              </w:rPr>
              <w:t>)</w:t>
            </w:r>
          </w:p>
        </w:tc>
        <w:tc>
          <w:tcPr>
            <w:tcW w:w="3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949EAE" w14:textId="77777777" w:rsidR="00083156" w:rsidRDefault="00000000">
            <w:pPr>
              <w:jc w:val="center"/>
              <w:rPr>
                <w:sz w:val="20"/>
                <w:szCs w:val="20"/>
              </w:rPr>
            </w:pPr>
            <w:r>
              <w:rPr>
                <w:sz w:val="20"/>
                <w:szCs w:val="20"/>
              </w:rPr>
              <w:t>5</w:t>
            </w:r>
          </w:p>
        </w:tc>
      </w:tr>
      <w:tr w:rsidR="00083156" w14:paraId="25769286" w14:textId="77777777">
        <w:tc>
          <w:tcPr>
            <w:tcW w:w="35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B40B86" w14:textId="77777777" w:rsidR="00083156" w:rsidRDefault="00000000">
            <w:pPr>
              <w:jc w:val="center"/>
              <w:rPr>
                <w:sz w:val="20"/>
                <w:szCs w:val="20"/>
              </w:rPr>
            </w:pPr>
            <w:proofErr w:type="spellStart"/>
            <w:r>
              <w:rPr>
                <w:sz w:val="20"/>
                <w:szCs w:val="20"/>
              </w:rPr>
              <w:t>Affective</w:t>
            </w:r>
            <w:proofErr w:type="spellEnd"/>
            <w:r>
              <w:rPr>
                <w:sz w:val="20"/>
                <w:szCs w:val="20"/>
              </w:rPr>
              <w:t xml:space="preserve"> </w:t>
            </w:r>
            <w:proofErr w:type="spellStart"/>
            <w:r>
              <w:rPr>
                <w:sz w:val="20"/>
                <w:szCs w:val="20"/>
              </w:rPr>
              <w:t>relationship</w:t>
            </w:r>
            <w:proofErr w:type="spellEnd"/>
            <w:r>
              <w:rPr>
                <w:sz w:val="20"/>
                <w:szCs w:val="20"/>
              </w:rPr>
              <w:t xml:space="preserve"> (marital)</w:t>
            </w:r>
          </w:p>
        </w:tc>
        <w:tc>
          <w:tcPr>
            <w:tcW w:w="3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2AF144" w14:textId="77777777" w:rsidR="00083156" w:rsidRDefault="00000000">
            <w:pPr>
              <w:jc w:val="center"/>
              <w:rPr>
                <w:sz w:val="20"/>
                <w:szCs w:val="20"/>
              </w:rPr>
            </w:pPr>
            <w:r>
              <w:rPr>
                <w:sz w:val="20"/>
                <w:szCs w:val="20"/>
              </w:rPr>
              <w:t>5</w:t>
            </w:r>
          </w:p>
        </w:tc>
      </w:tr>
      <w:tr w:rsidR="00083156" w14:paraId="467ACBBB" w14:textId="77777777">
        <w:tc>
          <w:tcPr>
            <w:tcW w:w="35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DFE9D5" w14:textId="77777777" w:rsidR="00083156" w:rsidRDefault="00000000">
            <w:pPr>
              <w:jc w:val="center"/>
              <w:rPr>
                <w:sz w:val="20"/>
                <w:szCs w:val="20"/>
              </w:rPr>
            </w:pPr>
            <w:proofErr w:type="spellStart"/>
            <w:r>
              <w:rPr>
                <w:sz w:val="20"/>
                <w:szCs w:val="20"/>
              </w:rPr>
              <w:t>Family</w:t>
            </w:r>
            <w:proofErr w:type="spellEnd"/>
            <w:r>
              <w:rPr>
                <w:sz w:val="20"/>
                <w:szCs w:val="20"/>
              </w:rPr>
              <w:t xml:space="preserve"> </w:t>
            </w:r>
            <w:proofErr w:type="spellStart"/>
            <w:r>
              <w:rPr>
                <w:sz w:val="20"/>
                <w:szCs w:val="20"/>
              </w:rPr>
              <w:t>relationship</w:t>
            </w:r>
            <w:proofErr w:type="spellEnd"/>
          </w:p>
        </w:tc>
        <w:tc>
          <w:tcPr>
            <w:tcW w:w="3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1A7156" w14:textId="77777777" w:rsidR="00083156" w:rsidRDefault="00000000">
            <w:pPr>
              <w:jc w:val="center"/>
              <w:rPr>
                <w:sz w:val="20"/>
                <w:szCs w:val="20"/>
              </w:rPr>
            </w:pPr>
            <w:r>
              <w:rPr>
                <w:sz w:val="20"/>
                <w:szCs w:val="20"/>
              </w:rPr>
              <w:t>3</w:t>
            </w:r>
          </w:p>
        </w:tc>
      </w:tr>
      <w:tr w:rsidR="00083156" w14:paraId="78517A8B" w14:textId="77777777">
        <w:tc>
          <w:tcPr>
            <w:tcW w:w="35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E69674" w14:textId="77777777" w:rsidR="00083156" w:rsidRDefault="00000000">
            <w:pPr>
              <w:jc w:val="center"/>
              <w:rPr>
                <w:sz w:val="20"/>
                <w:szCs w:val="20"/>
              </w:rPr>
            </w:pPr>
            <w:r>
              <w:rPr>
                <w:sz w:val="20"/>
                <w:szCs w:val="20"/>
              </w:rPr>
              <w:t xml:space="preserve">Work </w:t>
            </w:r>
            <w:proofErr w:type="spellStart"/>
            <w:r>
              <w:rPr>
                <w:sz w:val="20"/>
                <w:szCs w:val="20"/>
              </w:rPr>
              <w:t>relationship</w:t>
            </w:r>
            <w:proofErr w:type="spellEnd"/>
            <w:r>
              <w:rPr>
                <w:sz w:val="20"/>
                <w:szCs w:val="20"/>
              </w:rPr>
              <w:t xml:space="preserve"> (</w:t>
            </w:r>
            <w:proofErr w:type="spellStart"/>
            <w:r>
              <w:rPr>
                <w:sz w:val="20"/>
                <w:szCs w:val="20"/>
              </w:rPr>
              <w:t>asymmetric</w:t>
            </w:r>
            <w:proofErr w:type="spellEnd"/>
            <w:r>
              <w:rPr>
                <w:sz w:val="20"/>
                <w:szCs w:val="20"/>
              </w:rPr>
              <w:t>)</w:t>
            </w:r>
          </w:p>
        </w:tc>
        <w:tc>
          <w:tcPr>
            <w:tcW w:w="3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26D1F4" w14:textId="77777777" w:rsidR="00083156" w:rsidRDefault="00000000">
            <w:pPr>
              <w:jc w:val="center"/>
              <w:rPr>
                <w:sz w:val="20"/>
                <w:szCs w:val="20"/>
              </w:rPr>
            </w:pPr>
            <w:r>
              <w:rPr>
                <w:sz w:val="20"/>
                <w:szCs w:val="20"/>
              </w:rPr>
              <w:t>2</w:t>
            </w:r>
          </w:p>
        </w:tc>
      </w:tr>
      <w:tr w:rsidR="00083156" w14:paraId="1048F1A9" w14:textId="77777777">
        <w:tc>
          <w:tcPr>
            <w:tcW w:w="35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D71EE7" w14:textId="77777777" w:rsidR="00083156" w:rsidRDefault="00000000">
            <w:pPr>
              <w:jc w:val="center"/>
              <w:rPr>
                <w:sz w:val="20"/>
                <w:szCs w:val="20"/>
              </w:rPr>
            </w:pPr>
            <w:r>
              <w:rPr>
                <w:sz w:val="20"/>
                <w:szCs w:val="20"/>
              </w:rPr>
              <w:t xml:space="preserve">Work + </w:t>
            </w:r>
            <w:proofErr w:type="spellStart"/>
            <w:r>
              <w:rPr>
                <w:sz w:val="20"/>
                <w:szCs w:val="20"/>
              </w:rPr>
              <w:t>affective</w:t>
            </w:r>
            <w:proofErr w:type="spellEnd"/>
            <w:r>
              <w:rPr>
                <w:sz w:val="20"/>
                <w:szCs w:val="20"/>
              </w:rPr>
              <w:t xml:space="preserve"> </w:t>
            </w:r>
            <w:proofErr w:type="spellStart"/>
            <w:r>
              <w:rPr>
                <w:sz w:val="20"/>
                <w:szCs w:val="20"/>
              </w:rPr>
              <w:t>relationship</w:t>
            </w:r>
            <w:proofErr w:type="spellEnd"/>
          </w:p>
        </w:tc>
        <w:tc>
          <w:tcPr>
            <w:tcW w:w="3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C9803A" w14:textId="77777777" w:rsidR="00083156" w:rsidRDefault="00000000">
            <w:pPr>
              <w:jc w:val="center"/>
              <w:rPr>
                <w:sz w:val="20"/>
                <w:szCs w:val="20"/>
              </w:rPr>
            </w:pPr>
            <w:r>
              <w:rPr>
                <w:sz w:val="20"/>
                <w:szCs w:val="20"/>
              </w:rPr>
              <w:t>2</w:t>
            </w:r>
          </w:p>
        </w:tc>
      </w:tr>
    </w:tbl>
    <w:p w14:paraId="596BA9E6" w14:textId="77777777" w:rsidR="00083156" w:rsidRDefault="00000000">
      <w:pPr>
        <w:widowControl/>
        <w:pBdr>
          <w:top w:val="nil"/>
          <w:left w:val="nil"/>
          <w:bottom w:val="nil"/>
          <w:right w:val="nil"/>
          <w:between w:val="nil"/>
        </w:pBdr>
        <w:spacing w:after="80"/>
        <w:ind w:left="426" w:right="370"/>
        <w:jc w:val="center"/>
        <w:rPr>
          <w:color w:val="000000"/>
          <w:sz w:val="20"/>
          <w:szCs w:val="20"/>
        </w:rPr>
      </w:pPr>
      <w:proofErr w:type="spellStart"/>
      <w:r>
        <w:rPr>
          <w:color w:val="000000"/>
          <w:sz w:val="20"/>
          <w:szCs w:val="20"/>
        </w:rPr>
        <w:t>Source</w:t>
      </w:r>
      <w:proofErr w:type="spellEnd"/>
      <w:r>
        <w:rPr>
          <w:color w:val="000000"/>
          <w:sz w:val="20"/>
          <w:szCs w:val="20"/>
        </w:rPr>
        <w:t xml:space="preserve">: </w:t>
      </w:r>
      <w:proofErr w:type="spellStart"/>
      <w:r>
        <w:rPr>
          <w:color w:val="000000"/>
          <w:sz w:val="20"/>
          <w:szCs w:val="20"/>
        </w:rPr>
        <w:t>Authors</w:t>
      </w:r>
      <w:proofErr w:type="spellEnd"/>
    </w:p>
    <w:p w14:paraId="1261BDAA" w14:textId="77777777" w:rsidR="00083156" w:rsidRDefault="00083156">
      <w:pPr>
        <w:widowControl/>
        <w:pBdr>
          <w:top w:val="nil"/>
          <w:left w:val="nil"/>
          <w:bottom w:val="nil"/>
          <w:right w:val="nil"/>
          <w:between w:val="nil"/>
        </w:pBdr>
        <w:spacing w:after="80"/>
        <w:ind w:left="426" w:right="370"/>
        <w:jc w:val="center"/>
        <w:rPr>
          <w:color w:val="000000"/>
          <w:sz w:val="20"/>
          <w:szCs w:val="20"/>
        </w:rPr>
      </w:pPr>
    </w:p>
    <w:p w14:paraId="4AB5E5D1" w14:textId="77777777" w:rsidR="00083156" w:rsidRPr="00BD62E7" w:rsidRDefault="00000000">
      <w:pPr>
        <w:widowControl/>
        <w:pBdr>
          <w:top w:val="nil"/>
          <w:left w:val="nil"/>
          <w:bottom w:val="nil"/>
          <w:right w:val="nil"/>
          <w:between w:val="nil"/>
        </w:pBdr>
        <w:spacing w:after="80"/>
        <w:ind w:left="426" w:right="370"/>
        <w:jc w:val="both"/>
        <w:rPr>
          <w:color w:val="000000"/>
          <w:sz w:val="20"/>
          <w:szCs w:val="20"/>
          <w:lang w:val="en-GB"/>
        </w:rPr>
      </w:pPr>
      <w:r w:rsidRPr="00BD62E7">
        <w:rPr>
          <w:color w:val="000000"/>
          <w:sz w:val="20"/>
          <w:szCs w:val="20"/>
          <w:lang w:val="en-GB"/>
        </w:rPr>
        <w:t>On the other hand, crimes involving a previous affective relationship also show a significant presence. They are differentiated according to the type of relationship: five cases correspond to marital couples and another five to dating relationships. Among the former, the Guardia Urbana crime stands out clearly, represented in three productions —</w:t>
      </w:r>
      <w:r w:rsidRPr="00BD62E7">
        <w:rPr>
          <w:i/>
          <w:iCs/>
          <w:color w:val="000000"/>
          <w:sz w:val="20"/>
          <w:szCs w:val="20"/>
          <w:lang w:val="en-GB"/>
        </w:rPr>
        <w:t>El crimen de la Guardia Urbana</w:t>
      </w:r>
      <w:r w:rsidRPr="00BD62E7">
        <w:rPr>
          <w:color w:val="000000"/>
          <w:sz w:val="20"/>
          <w:szCs w:val="20"/>
          <w:lang w:val="en-GB"/>
        </w:rPr>
        <w:t xml:space="preserve"> (Movistar+, 2021), </w:t>
      </w:r>
      <w:r w:rsidRPr="00BD62E7">
        <w:rPr>
          <w:i/>
          <w:iCs/>
          <w:color w:val="000000"/>
          <w:sz w:val="20"/>
          <w:szCs w:val="20"/>
          <w:lang w:val="en-GB"/>
        </w:rPr>
        <w:t xml:space="preserve">El </w:t>
      </w:r>
      <w:proofErr w:type="spellStart"/>
      <w:r w:rsidRPr="00BD62E7">
        <w:rPr>
          <w:i/>
          <w:iCs/>
          <w:color w:val="000000"/>
          <w:sz w:val="20"/>
          <w:szCs w:val="20"/>
          <w:lang w:val="en-GB"/>
        </w:rPr>
        <w:t>cuerpo</w:t>
      </w:r>
      <w:proofErr w:type="spellEnd"/>
      <w:r w:rsidRPr="00BD62E7">
        <w:rPr>
          <w:i/>
          <w:iCs/>
          <w:color w:val="000000"/>
          <w:sz w:val="20"/>
          <w:szCs w:val="20"/>
          <w:lang w:val="en-GB"/>
        </w:rPr>
        <w:t xml:space="preserve"> </w:t>
      </w:r>
      <w:proofErr w:type="spellStart"/>
      <w:r w:rsidRPr="00BD62E7">
        <w:rPr>
          <w:i/>
          <w:iCs/>
          <w:color w:val="000000"/>
          <w:sz w:val="20"/>
          <w:szCs w:val="20"/>
          <w:lang w:val="en-GB"/>
        </w:rPr>
        <w:t>en</w:t>
      </w:r>
      <w:proofErr w:type="spellEnd"/>
      <w:r w:rsidRPr="00BD62E7">
        <w:rPr>
          <w:i/>
          <w:iCs/>
          <w:color w:val="000000"/>
          <w:sz w:val="20"/>
          <w:szCs w:val="20"/>
          <w:lang w:val="en-GB"/>
        </w:rPr>
        <w:t xml:space="preserve"> llamas</w:t>
      </w:r>
      <w:r w:rsidRPr="00BD62E7">
        <w:rPr>
          <w:color w:val="000000"/>
          <w:sz w:val="20"/>
          <w:szCs w:val="20"/>
          <w:lang w:val="en-GB"/>
        </w:rPr>
        <w:t xml:space="preserve"> (Netflix, 2023) and </w:t>
      </w:r>
      <w:r w:rsidRPr="00BD62E7">
        <w:rPr>
          <w:i/>
          <w:iCs/>
          <w:color w:val="000000"/>
          <w:sz w:val="20"/>
          <w:szCs w:val="20"/>
          <w:lang w:val="en-GB"/>
        </w:rPr>
        <w:t xml:space="preserve">Las </w:t>
      </w:r>
      <w:proofErr w:type="spellStart"/>
      <w:r w:rsidRPr="00BD62E7">
        <w:rPr>
          <w:i/>
          <w:iCs/>
          <w:color w:val="000000"/>
          <w:sz w:val="20"/>
          <w:szCs w:val="20"/>
          <w:lang w:val="en-GB"/>
        </w:rPr>
        <w:t>cintas</w:t>
      </w:r>
      <w:proofErr w:type="spellEnd"/>
      <w:r w:rsidRPr="00BD62E7">
        <w:rPr>
          <w:i/>
          <w:iCs/>
          <w:color w:val="000000"/>
          <w:sz w:val="20"/>
          <w:szCs w:val="20"/>
          <w:lang w:val="en-GB"/>
        </w:rPr>
        <w:t xml:space="preserve"> de Rosa Peral</w:t>
      </w:r>
      <w:r w:rsidRPr="00BD62E7">
        <w:rPr>
          <w:color w:val="000000"/>
          <w:sz w:val="20"/>
          <w:szCs w:val="20"/>
          <w:lang w:val="en-GB"/>
        </w:rPr>
        <w:t xml:space="preserve"> (Netflix, 2023)— which explore the murder through different formats. In the group of dating relationships, the Sancho case stands out, with </w:t>
      </w:r>
      <w:r w:rsidRPr="00BD62E7">
        <w:rPr>
          <w:i/>
          <w:iCs/>
          <w:color w:val="000000"/>
          <w:sz w:val="20"/>
          <w:szCs w:val="20"/>
          <w:lang w:val="en-GB"/>
        </w:rPr>
        <w:t xml:space="preserve">El </w:t>
      </w:r>
      <w:proofErr w:type="spellStart"/>
      <w:r w:rsidRPr="00BD62E7">
        <w:rPr>
          <w:i/>
          <w:iCs/>
          <w:color w:val="000000"/>
          <w:sz w:val="20"/>
          <w:szCs w:val="20"/>
          <w:lang w:val="en-GB"/>
        </w:rPr>
        <w:t>caso</w:t>
      </w:r>
      <w:proofErr w:type="spellEnd"/>
      <w:r w:rsidRPr="00BD62E7">
        <w:rPr>
          <w:i/>
          <w:iCs/>
          <w:color w:val="000000"/>
          <w:sz w:val="20"/>
          <w:szCs w:val="20"/>
          <w:lang w:val="en-GB"/>
        </w:rPr>
        <w:t xml:space="preserve"> Sancho</w:t>
      </w:r>
      <w:r w:rsidRPr="00BD62E7">
        <w:rPr>
          <w:color w:val="000000"/>
          <w:sz w:val="20"/>
          <w:szCs w:val="20"/>
          <w:lang w:val="en-GB"/>
        </w:rPr>
        <w:t xml:space="preserve"> (HBO Max, 2024) and </w:t>
      </w:r>
      <w:proofErr w:type="spellStart"/>
      <w:r w:rsidRPr="00BD62E7">
        <w:rPr>
          <w:i/>
          <w:iCs/>
          <w:color w:val="000000"/>
          <w:sz w:val="20"/>
          <w:szCs w:val="20"/>
          <w:lang w:val="en-GB"/>
        </w:rPr>
        <w:t>Receta</w:t>
      </w:r>
      <w:proofErr w:type="spellEnd"/>
      <w:r w:rsidRPr="00BD62E7">
        <w:rPr>
          <w:i/>
          <w:iCs/>
          <w:color w:val="000000"/>
          <w:sz w:val="20"/>
          <w:szCs w:val="20"/>
          <w:lang w:val="en-GB"/>
        </w:rPr>
        <w:t xml:space="preserve"> para un </w:t>
      </w:r>
      <w:proofErr w:type="spellStart"/>
      <w:r w:rsidRPr="00BD62E7">
        <w:rPr>
          <w:i/>
          <w:iCs/>
          <w:color w:val="000000"/>
          <w:sz w:val="20"/>
          <w:szCs w:val="20"/>
          <w:lang w:val="en-GB"/>
        </w:rPr>
        <w:t>asesinato</w:t>
      </w:r>
      <w:proofErr w:type="spellEnd"/>
      <w:r w:rsidRPr="00BD62E7">
        <w:rPr>
          <w:color w:val="000000"/>
          <w:sz w:val="20"/>
          <w:szCs w:val="20"/>
          <w:lang w:val="en-GB"/>
        </w:rPr>
        <w:t xml:space="preserve"> (</w:t>
      </w:r>
      <w:proofErr w:type="spellStart"/>
      <w:r w:rsidRPr="00BD62E7">
        <w:rPr>
          <w:color w:val="000000"/>
          <w:sz w:val="20"/>
          <w:szCs w:val="20"/>
          <w:lang w:val="en-GB"/>
        </w:rPr>
        <w:t>SkyShowtime</w:t>
      </w:r>
      <w:proofErr w:type="spellEnd"/>
      <w:r w:rsidRPr="00BD62E7">
        <w:rPr>
          <w:color w:val="000000"/>
          <w:sz w:val="20"/>
          <w:szCs w:val="20"/>
          <w:lang w:val="en-GB"/>
        </w:rPr>
        <w:t>, 2025), two documentary miniseries that address the crime from different perspectives. Other categories with lower representation, but equally relevant, include workplace relationships — whether asymmetric or illicit — cases of direct family relationships, and multiple murders committed by serial killers, all of which have high narrative potential based on broken or ambiguous relationships of trust.</w:t>
      </w:r>
    </w:p>
    <w:p w14:paraId="3F3E7292" w14:textId="77777777" w:rsidR="00083156" w:rsidRPr="00BD62E7" w:rsidRDefault="00000000">
      <w:pPr>
        <w:widowControl/>
        <w:pBdr>
          <w:top w:val="nil"/>
          <w:left w:val="nil"/>
          <w:bottom w:val="nil"/>
          <w:right w:val="nil"/>
          <w:between w:val="nil"/>
        </w:pBdr>
        <w:spacing w:after="80"/>
        <w:ind w:left="426" w:right="370"/>
        <w:jc w:val="both"/>
        <w:rPr>
          <w:color w:val="000000"/>
          <w:sz w:val="20"/>
          <w:szCs w:val="20"/>
          <w:lang w:val="en-GB"/>
        </w:rPr>
      </w:pPr>
      <w:r w:rsidRPr="00BD62E7">
        <w:rPr>
          <w:color w:val="000000"/>
          <w:sz w:val="20"/>
          <w:szCs w:val="20"/>
          <w:lang w:val="en-GB"/>
        </w:rPr>
        <w:t xml:space="preserve">Due to the selection criteria, homicide emerges as the most represented type of crime in the productions analysed, appearing in 32 of the 35 cases. However, there is also room for variants that introduce nuances into the genre, such as the cases of </w:t>
      </w:r>
      <w:r w:rsidRPr="00BD62E7">
        <w:rPr>
          <w:i/>
          <w:iCs/>
          <w:color w:val="000000"/>
          <w:sz w:val="20"/>
          <w:szCs w:val="20"/>
          <w:lang w:val="en-GB"/>
        </w:rPr>
        <w:t xml:space="preserve">Las </w:t>
      </w:r>
      <w:proofErr w:type="spellStart"/>
      <w:r w:rsidRPr="00BD62E7">
        <w:rPr>
          <w:i/>
          <w:iCs/>
          <w:color w:val="000000"/>
          <w:sz w:val="20"/>
          <w:szCs w:val="20"/>
          <w:lang w:val="en-GB"/>
        </w:rPr>
        <w:t>últimas</w:t>
      </w:r>
      <w:proofErr w:type="spellEnd"/>
      <w:r w:rsidRPr="00BD62E7">
        <w:rPr>
          <w:i/>
          <w:iCs/>
          <w:color w:val="000000"/>
          <w:sz w:val="20"/>
          <w:szCs w:val="20"/>
          <w:lang w:val="en-GB"/>
        </w:rPr>
        <w:t xml:space="preserve"> horas de Mario Biondo</w:t>
      </w:r>
      <w:r w:rsidRPr="00BD62E7">
        <w:rPr>
          <w:color w:val="000000"/>
          <w:sz w:val="20"/>
          <w:szCs w:val="20"/>
          <w:lang w:val="en-GB"/>
        </w:rPr>
        <w:t xml:space="preserve"> (Netflix, 2023) and </w:t>
      </w:r>
      <w:r w:rsidRPr="00BD62E7">
        <w:rPr>
          <w:i/>
          <w:iCs/>
          <w:color w:val="000000"/>
          <w:sz w:val="20"/>
          <w:szCs w:val="20"/>
          <w:lang w:val="en-GB"/>
        </w:rPr>
        <w:t xml:space="preserve">El hombre sin </w:t>
      </w:r>
      <w:proofErr w:type="spellStart"/>
      <w:r w:rsidRPr="00BD62E7">
        <w:rPr>
          <w:i/>
          <w:iCs/>
          <w:color w:val="000000"/>
          <w:sz w:val="20"/>
          <w:szCs w:val="20"/>
          <w:lang w:val="en-GB"/>
        </w:rPr>
        <w:t>corazón</w:t>
      </w:r>
      <w:proofErr w:type="spellEnd"/>
      <w:r w:rsidRPr="00BD62E7">
        <w:rPr>
          <w:color w:val="000000"/>
          <w:sz w:val="20"/>
          <w:szCs w:val="20"/>
          <w:lang w:val="en-GB"/>
        </w:rPr>
        <w:t xml:space="preserve"> (HBO Max, 2024), where doubt is raised between suicide and murder, turning ambiguity into the driving force of the </w:t>
      </w:r>
      <w:r w:rsidRPr="00BD62E7">
        <w:rPr>
          <w:color w:val="000000"/>
          <w:sz w:val="20"/>
          <w:szCs w:val="20"/>
          <w:lang w:val="en-GB"/>
        </w:rPr>
        <w:lastRenderedPageBreak/>
        <w:t xml:space="preserve">narrative. Likewise, </w:t>
      </w:r>
      <w:r w:rsidRPr="00BD62E7">
        <w:rPr>
          <w:i/>
          <w:iCs/>
          <w:color w:val="000000"/>
          <w:sz w:val="20"/>
          <w:szCs w:val="20"/>
          <w:lang w:val="en-GB"/>
        </w:rPr>
        <w:t>900 días sin Anabel</w:t>
      </w:r>
      <w:r w:rsidRPr="00BD62E7">
        <w:rPr>
          <w:color w:val="000000"/>
          <w:sz w:val="20"/>
          <w:szCs w:val="20"/>
          <w:lang w:val="en-GB"/>
        </w:rPr>
        <w:t xml:space="preserve"> (Netflix, 2024) addresses a kidnapping case with a homicidal outcome, incorporating a dimension of prolonged suffering and unresolved search that broadens the spectrum of true crime beyond direct murder.</w:t>
      </w:r>
    </w:p>
    <w:p w14:paraId="59BE173D" w14:textId="77777777" w:rsidR="00083156" w:rsidRPr="00BD62E7" w:rsidRDefault="00083156">
      <w:pPr>
        <w:widowControl/>
        <w:pBdr>
          <w:top w:val="nil"/>
          <w:left w:val="nil"/>
          <w:bottom w:val="nil"/>
          <w:right w:val="nil"/>
          <w:between w:val="nil"/>
        </w:pBdr>
        <w:spacing w:after="80"/>
        <w:ind w:left="426" w:right="370"/>
        <w:jc w:val="both"/>
        <w:rPr>
          <w:color w:val="000000"/>
          <w:sz w:val="20"/>
          <w:szCs w:val="20"/>
          <w:lang w:val="en-GB"/>
        </w:rPr>
      </w:pPr>
    </w:p>
    <w:p w14:paraId="6C8E74F2" w14:textId="518BFAFC" w:rsidR="00083156" w:rsidRPr="00885AFD" w:rsidRDefault="00000000">
      <w:pPr>
        <w:widowControl/>
        <w:pBdr>
          <w:top w:val="nil"/>
          <w:left w:val="nil"/>
          <w:bottom w:val="nil"/>
          <w:right w:val="nil"/>
          <w:between w:val="nil"/>
        </w:pBdr>
        <w:spacing w:after="80"/>
        <w:ind w:left="426" w:right="370"/>
        <w:jc w:val="center"/>
        <w:rPr>
          <w:color w:val="000000"/>
          <w:sz w:val="20"/>
          <w:szCs w:val="20"/>
          <w:lang w:val="en-GB"/>
        </w:rPr>
      </w:pPr>
      <w:r w:rsidRPr="00BD62E7">
        <w:rPr>
          <w:color w:val="000000"/>
          <w:sz w:val="20"/>
          <w:szCs w:val="20"/>
          <w:lang w:val="en-GB"/>
        </w:rPr>
        <w:t xml:space="preserve">Figure </w:t>
      </w:r>
      <w:r w:rsidRPr="00BD62E7">
        <w:rPr>
          <w:sz w:val="20"/>
          <w:szCs w:val="20"/>
          <w:lang w:val="en-GB"/>
        </w:rPr>
        <w:t>3</w:t>
      </w:r>
      <w:r w:rsidRPr="00BD62E7">
        <w:rPr>
          <w:color w:val="000000"/>
          <w:sz w:val="20"/>
          <w:szCs w:val="20"/>
          <w:lang w:val="en-GB"/>
        </w:rPr>
        <w:t>. Temporal distribution of the crimes analysed in true crime productions on SVOD platforms (2016–2025)</w:t>
      </w:r>
      <w:r w:rsidR="00885AFD">
        <w:rPr>
          <w:noProof/>
          <w:color w:val="000000"/>
          <w:sz w:val="20"/>
          <w:szCs w:val="20"/>
          <w:lang w:val="en-GB"/>
        </w:rPr>
        <w:drawing>
          <wp:inline distT="0" distB="0" distL="0" distR="0" wp14:anchorId="5BA34B71" wp14:editId="4BD2F21D">
            <wp:extent cx="4368800" cy="2705100"/>
            <wp:effectExtent l="0" t="0" r="0" b="0"/>
            <wp:docPr id="151825139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8800" cy="2705100"/>
                    </a:xfrm>
                    <a:prstGeom prst="rect">
                      <a:avLst/>
                    </a:prstGeom>
                    <a:noFill/>
                    <a:ln>
                      <a:noFill/>
                    </a:ln>
                  </pic:spPr>
                </pic:pic>
              </a:graphicData>
            </a:graphic>
          </wp:inline>
        </w:drawing>
      </w:r>
    </w:p>
    <w:p w14:paraId="3029566F" w14:textId="77777777" w:rsidR="00083156" w:rsidRPr="00BD62E7" w:rsidRDefault="00000000">
      <w:pPr>
        <w:widowControl/>
        <w:pBdr>
          <w:top w:val="nil"/>
          <w:left w:val="nil"/>
          <w:bottom w:val="nil"/>
          <w:right w:val="nil"/>
          <w:between w:val="nil"/>
        </w:pBdr>
        <w:spacing w:after="80"/>
        <w:ind w:left="426" w:right="370"/>
        <w:jc w:val="center"/>
        <w:rPr>
          <w:color w:val="000000"/>
          <w:sz w:val="20"/>
          <w:szCs w:val="20"/>
          <w:lang w:val="en-GB"/>
        </w:rPr>
      </w:pPr>
      <w:r w:rsidRPr="00BD62E7">
        <w:rPr>
          <w:color w:val="000000"/>
          <w:sz w:val="20"/>
          <w:szCs w:val="20"/>
          <w:lang w:val="en-GB"/>
        </w:rPr>
        <w:t>Source: Authors</w:t>
      </w:r>
    </w:p>
    <w:p w14:paraId="3CE5B72B" w14:textId="77777777" w:rsidR="00083156" w:rsidRPr="00BD62E7" w:rsidRDefault="00083156">
      <w:pPr>
        <w:widowControl/>
        <w:pBdr>
          <w:top w:val="nil"/>
          <w:left w:val="nil"/>
          <w:bottom w:val="nil"/>
          <w:right w:val="nil"/>
          <w:between w:val="nil"/>
        </w:pBdr>
        <w:spacing w:after="80"/>
        <w:ind w:left="426" w:right="370"/>
        <w:jc w:val="center"/>
        <w:rPr>
          <w:color w:val="000000"/>
          <w:sz w:val="20"/>
          <w:szCs w:val="20"/>
          <w:lang w:val="en-GB"/>
        </w:rPr>
      </w:pPr>
    </w:p>
    <w:p w14:paraId="53B0B41A" w14:textId="77777777" w:rsidR="00083156" w:rsidRPr="00BD62E7" w:rsidRDefault="00000000">
      <w:pPr>
        <w:widowControl/>
        <w:pBdr>
          <w:top w:val="nil"/>
          <w:left w:val="nil"/>
          <w:bottom w:val="nil"/>
          <w:right w:val="nil"/>
          <w:between w:val="nil"/>
        </w:pBdr>
        <w:spacing w:after="80"/>
        <w:ind w:left="426" w:right="370"/>
        <w:jc w:val="both"/>
        <w:rPr>
          <w:color w:val="000000"/>
          <w:sz w:val="20"/>
          <w:szCs w:val="20"/>
          <w:lang w:val="en-GB"/>
        </w:rPr>
      </w:pPr>
      <w:r w:rsidRPr="00BD62E7">
        <w:rPr>
          <w:color w:val="000000"/>
          <w:sz w:val="20"/>
          <w:szCs w:val="20"/>
          <w:lang w:val="en-GB"/>
        </w:rPr>
        <w:t xml:space="preserve">The temporal distribution of the crimes analysed reveals a greater concentration in the decades of the 1990s and 2010s, with 9 and 11 cases respectively. This recurrence responds, in part, to the significant media impact that certain events achieved during those periods, which has endured in the collective imagination. During the 1990s, cases such as the </w:t>
      </w:r>
      <w:proofErr w:type="spellStart"/>
      <w:r w:rsidRPr="00BD62E7">
        <w:rPr>
          <w:color w:val="000000"/>
          <w:sz w:val="20"/>
          <w:szCs w:val="20"/>
          <w:lang w:val="en-GB"/>
        </w:rPr>
        <w:t>Alcàsser</w:t>
      </w:r>
      <w:proofErr w:type="spellEnd"/>
      <w:r w:rsidRPr="00BD62E7">
        <w:rPr>
          <w:color w:val="000000"/>
          <w:sz w:val="20"/>
          <w:szCs w:val="20"/>
          <w:lang w:val="en-GB"/>
        </w:rPr>
        <w:t xml:space="preserve"> crime or the </w:t>
      </w:r>
      <w:proofErr w:type="spellStart"/>
      <w:r w:rsidRPr="00BD62E7">
        <w:rPr>
          <w:color w:val="000000"/>
          <w:sz w:val="20"/>
          <w:szCs w:val="20"/>
          <w:lang w:val="en-GB"/>
        </w:rPr>
        <w:t>Wanninkhof</w:t>
      </w:r>
      <w:proofErr w:type="spellEnd"/>
      <w:r w:rsidRPr="00BD62E7">
        <w:rPr>
          <w:color w:val="000000"/>
          <w:sz w:val="20"/>
          <w:szCs w:val="20"/>
          <w:lang w:val="en-GB"/>
        </w:rPr>
        <w:t xml:space="preserve"> case stand out, both widely revisited by different platforms. In the 2010s, a new wave of highly mediatised crimes can be observed, generating multiple productions, such as the Isabel Carrasco case, the Asunta case or the Guardia Urbana crime, all of which have more than one audiovisual representation.</w:t>
      </w:r>
    </w:p>
    <w:p w14:paraId="3CFA2E39" w14:textId="77777777" w:rsidR="00083156" w:rsidRPr="00BD62E7" w:rsidRDefault="00083156">
      <w:pPr>
        <w:rPr>
          <w:lang w:val="en-GB"/>
        </w:rPr>
      </w:pPr>
    </w:p>
    <w:p w14:paraId="64CC264F" w14:textId="77777777" w:rsidR="00083156" w:rsidRDefault="00000000">
      <w:pPr>
        <w:pStyle w:val="Ttulo1"/>
        <w:widowControl/>
        <w:numPr>
          <w:ilvl w:val="0"/>
          <w:numId w:val="2"/>
        </w:numPr>
        <w:spacing w:after="80"/>
        <w:ind w:left="426" w:right="370" w:firstLine="0"/>
        <w:jc w:val="both"/>
        <w:rPr>
          <w:rFonts w:ascii="Garamond" w:eastAsia="Garamond" w:hAnsi="Garamond" w:cs="Garamond"/>
          <w:b/>
          <w:bCs/>
          <w:color w:val="98361E"/>
        </w:rPr>
      </w:pPr>
      <w:proofErr w:type="spellStart"/>
      <w:r>
        <w:rPr>
          <w:rFonts w:ascii="Garamond" w:eastAsia="Garamond" w:hAnsi="Garamond" w:cs="Garamond"/>
          <w:b/>
          <w:bCs/>
          <w:color w:val="98361E"/>
        </w:rPr>
        <w:t>Discussion</w:t>
      </w:r>
      <w:proofErr w:type="spellEnd"/>
      <w:r>
        <w:rPr>
          <w:rFonts w:ascii="Garamond" w:eastAsia="Garamond" w:hAnsi="Garamond" w:cs="Garamond"/>
          <w:b/>
          <w:bCs/>
          <w:color w:val="98361E"/>
        </w:rPr>
        <w:t xml:space="preserve"> and </w:t>
      </w:r>
      <w:proofErr w:type="spellStart"/>
      <w:r>
        <w:rPr>
          <w:rFonts w:ascii="Garamond" w:eastAsia="Garamond" w:hAnsi="Garamond" w:cs="Garamond"/>
          <w:b/>
          <w:bCs/>
          <w:color w:val="98361E"/>
        </w:rPr>
        <w:t>conclusions</w:t>
      </w:r>
      <w:proofErr w:type="spellEnd"/>
    </w:p>
    <w:p w14:paraId="06E68A3B"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As has been demonstrated throughout this study, the emergence of video</w:t>
      </w:r>
      <w:r w:rsidRPr="00BD62E7">
        <w:rPr>
          <w:rFonts w:ascii="Cambria Math" w:eastAsia="Cambria Math" w:hAnsi="Cambria Math" w:cs="Cambria Math"/>
          <w:color w:val="231F20"/>
          <w:sz w:val="20"/>
          <w:szCs w:val="20"/>
          <w:lang w:val="en-GB"/>
        </w:rPr>
        <w:t>‑</w:t>
      </w:r>
      <w:r w:rsidRPr="00BD62E7">
        <w:rPr>
          <w:color w:val="231F20"/>
          <w:sz w:val="20"/>
          <w:szCs w:val="20"/>
          <w:lang w:val="en-GB"/>
        </w:rPr>
        <w:t>on</w:t>
      </w:r>
      <w:r w:rsidRPr="00BD62E7">
        <w:rPr>
          <w:rFonts w:ascii="Cambria Math" w:eastAsia="Cambria Math" w:hAnsi="Cambria Math" w:cs="Cambria Math"/>
          <w:color w:val="231F20"/>
          <w:sz w:val="20"/>
          <w:szCs w:val="20"/>
          <w:lang w:val="en-GB"/>
        </w:rPr>
        <w:t>‑</w:t>
      </w:r>
      <w:r w:rsidRPr="00BD62E7">
        <w:rPr>
          <w:color w:val="231F20"/>
          <w:sz w:val="20"/>
          <w:szCs w:val="20"/>
          <w:lang w:val="en-GB"/>
        </w:rPr>
        <w:t xml:space="preserve">demand platforms within the Spanish audiovisual landscape has encouraged the production of the true crime genre through different formats and narrative perspectives. Although very few releases can be identified during the early years of the period analysed, there is a notable increase from 2021 onwards, with a peak in 2024 that evidences the structural position the genre has reached within Spanish VOD production. This evolution aligns with the results obtained by other authors regarding true crime in streaming services (Bruzzi, 2016; </w:t>
      </w:r>
      <w:r w:rsidRPr="00BD62E7">
        <w:rPr>
          <w:color w:val="231F20"/>
          <w:sz w:val="20"/>
          <w:szCs w:val="20"/>
          <w:lang w:val="en-GB"/>
        </w:rPr>
        <w:lastRenderedPageBreak/>
        <w:t xml:space="preserve">Irshad, 2022; </w:t>
      </w:r>
      <w:proofErr w:type="spellStart"/>
      <w:r w:rsidRPr="00BD62E7">
        <w:rPr>
          <w:color w:val="231F20"/>
          <w:sz w:val="20"/>
          <w:szCs w:val="20"/>
          <w:lang w:val="en-GB"/>
        </w:rPr>
        <w:t>Nirtaut</w:t>
      </w:r>
      <w:proofErr w:type="spellEnd"/>
      <w:r w:rsidRPr="00BD62E7">
        <w:rPr>
          <w:color w:val="231F20"/>
          <w:sz w:val="20"/>
          <w:szCs w:val="20"/>
          <w:lang w:val="en-GB"/>
        </w:rPr>
        <w:t>, 2024), who confirm the consolidation of the genre at an international level.</w:t>
      </w:r>
    </w:p>
    <w:p w14:paraId="5551B1A1"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The development of true crime in Spain relies particularly on the prominence of the documentary miniseries format, which makes it possible to combine the investigative rigour of journalism with a narrative structure that employs strategies of tension and suspense typical of serialised storytelling. The hegemony of non</w:t>
      </w:r>
      <w:r w:rsidRPr="00BD62E7">
        <w:rPr>
          <w:rFonts w:ascii="Cambria Math" w:eastAsia="Cambria Math" w:hAnsi="Cambria Math" w:cs="Cambria Math"/>
          <w:color w:val="231F20"/>
          <w:sz w:val="20"/>
          <w:szCs w:val="20"/>
          <w:lang w:val="en-GB"/>
        </w:rPr>
        <w:t>‑</w:t>
      </w:r>
      <w:r w:rsidRPr="00BD62E7">
        <w:rPr>
          <w:color w:val="231F20"/>
          <w:sz w:val="20"/>
          <w:szCs w:val="20"/>
          <w:lang w:val="en-GB"/>
        </w:rPr>
        <w:t>fiction — whether in the form of miniseries, documentary films or documentary series — contrasts with the limited presence of fictional proposals, which are residual within the period analysed. These results suggest a preference among streaming platforms for narratives rooted in factual material. However, this inclination towards documentary formats should not be interpreted as a guarantee of neutrality or informational transparency, since, as warned by Kort</w:t>
      </w:r>
      <w:r w:rsidRPr="00BD62E7">
        <w:rPr>
          <w:rFonts w:ascii="Cambria Math" w:eastAsia="Cambria Math" w:hAnsi="Cambria Math" w:cs="Cambria Math"/>
          <w:color w:val="231F20"/>
          <w:sz w:val="20"/>
          <w:szCs w:val="20"/>
          <w:lang w:val="en-GB"/>
        </w:rPr>
        <w:t>‑</w:t>
      </w:r>
      <w:r w:rsidRPr="00BD62E7">
        <w:rPr>
          <w:color w:val="231F20"/>
          <w:sz w:val="20"/>
          <w:szCs w:val="20"/>
          <w:lang w:val="en-GB"/>
        </w:rPr>
        <w:t xml:space="preserve">Butler and Sittner Hartshorn (2011) and Rowe (2013), many of these productions adopt representational techniques characteristic of fiction, such as </w:t>
      </w:r>
      <w:proofErr w:type="spellStart"/>
      <w:r w:rsidRPr="00BD62E7">
        <w:rPr>
          <w:color w:val="231F20"/>
          <w:sz w:val="20"/>
          <w:szCs w:val="20"/>
          <w:lang w:val="en-GB"/>
        </w:rPr>
        <w:t>dramatised</w:t>
      </w:r>
      <w:proofErr w:type="spellEnd"/>
      <w:r w:rsidRPr="00BD62E7">
        <w:rPr>
          <w:color w:val="231F20"/>
          <w:sz w:val="20"/>
          <w:szCs w:val="20"/>
          <w:lang w:val="en-GB"/>
        </w:rPr>
        <w:t xml:space="preserve"> reconstruction or the intensive use of emotional editing, which contribute to blurring the boundary between information and entertainment. In this sense, hybrid products are configured that, as Romero (2020) notes, often resort to sensationalism to maximise their impact and reproduce emotional structures closer to fiction than to traditional journalistic reporting.</w:t>
      </w:r>
    </w:p>
    <w:p w14:paraId="3A18502B"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Regarding distribution, a clear concentration of true crime production can be observed in a small number of platforms, with Netflix at the forefront as the main promoter of the genre in Spain. It is followed by other major operators such as HBO Max and Movistar+, which also invest in this type of content, while the remaining platforms include such productions more sporadically. Despite this concentration, the sustained commitment to true crime demonstrates a shared interest in the genre as strategic and appealing content for audiences in the current audiovisual ecosystem. Thus, although Netflix sets the pace and establishes the predominant narrative patterns, these productions are significantly and increasingly present across a variety of platforms.</w:t>
      </w:r>
    </w:p>
    <w:p w14:paraId="51C863ED"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In relation to the repetition of certain mediatised crimes as narrative axes in multiple productions, the findings reveal a pattern in which cases with high media impact, controversial figures or complex emotional elements are particularly prone to serialisation or reinterpretation. In this context, streaming platforms operate as media agents capable of recontextualising these events, which, in some instances, may reopen social debates or transform public perceptions of justice and culpability. Examples such as the Guardia Urbana crime or the </w:t>
      </w:r>
      <w:proofErr w:type="spellStart"/>
      <w:r w:rsidRPr="00BD62E7">
        <w:rPr>
          <w:color w:val="231F20"/>
          <w:sz w:val="20"/>
          <w:szCs w:val="20"/>
          <w:lang w:val="en-GB"/>
        </w:rPr>
        <w:t>Alcàsser</w:t>
      </w:r>
      <w:proofErr w:type="spellEnd"/>
      <w:r w:rsidRPr="00BD62E7">
        <w:rPr>
          <w:color w:val="231F20"/>
          <w:sz w:val="20"/>
          <w:szCs w:val="20"/>
          <w:lang w:val="en-GB"/>
        </w:rPr>
        <w:t xml:space="preserve"> case have been approached from different angles, sometimes with almost simultaneous releases within the same year. This transversality — whether within a single platform or between competing ones — indicates a planned narrative exploitation that allows for the extension of viewer interest and diversification of the treatment of each case.</w:t>
      </w:r>
    </w:p>
    <w:p w14:paraId="0FAE60EE"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On the other hand, it is observed that the dominant narrative perspective in these </w:t>
      </w:r>
      <w:proofErr w:type="gramStart"/>
      <w:r w:rsidRPr="00BD62E7">
        <w:rPr>
          <w:color w:val="231F20"/>
          <w:sz w:val="20"/>
          <w:szCs w:val="20"/>
          <w:lang w:val="en-GB"/>
        </w:rPr>
        <w:t>productions</w:t>
      </w:r>
      <w:proofErr w:type="gramEnd"/>
      <w:r w:rsidRPr="00BD62E7">
        <w:rPr>
          <w:color w:val="231F20"/>
          <w:sz w:val="20"/>
          <w:szCs w:val="20"/>
          <w:lang w:val="en-GB"/>
        </w:rPr>
        <w:t xml:space="preserve"> centres on the perpetrators, revealing an interest in uncovering the psychological profiles and motivations behind the crime. However, there is also a significant presence of victims as the narrative focus and, in specific cases, of unjustly accused individuals, which broadens the thematic range and complexity of true crime. In terms of gender representation, this plurality is also reflected in the configuration of criminal profiles, as victims are distributed relatively evenly between men and women. In contrast, men maintain a majority presence as perpetrators, which corresponds to </w:t>
      </w:r>
      <w:r w:rsidRPr="00BD62E7">
        <w:rPr>
          <w:color w:val="231F20"/>
          <w:sz w:val="20"/>
          <w:szCs w:val="20"/>
          <w:lang w:val="en-GB"/>
        </w:rPr>
        <w:lastRenderedPageBreak/>
        <w:t>criminal statistical patterns in Spain but also to the factual structure of the events on which the productions are based.</w:t>
      </w:r>
    </w:p>
    <w:p w14:paraId="2FC9382B"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It is particularly revealing that, when a woman is involved in the case, the narrative tends to become personalised and centre on her. When women are victims, the narrative often focuses on their figure and the specific circumstances surrounding the crime. Similarly, when they are perpetrators, the narrative is also reorganised around them, often through </w:t>
      </w:r>
      <w:proofErr w:type="spellStart"/>
      <w:r w:rsidRPr="00BD62E7">
        <w:rPr>
          <w:color w:val="231F20"/>
          <w:sz w:val="20"/>
          <w:szCs w:val="20"/>
          <w:lang w:val="en-GB"/>
        </w:rPr>
        <w:t>dramatising</w:t>
      </w:r>
      <w:proofErr w:type="spellEnd"/>
      <w:r w:rsidRPr="00BD62E7">
        <w:rPr>
          <w:color w:val="231F20"/>
          <w:sz w:val="20"/>
          <w:szCs w:val="20"/>
          <w:lang w:val="en-GB"/>
        </w:rPr>
        <w:t xml:space="preserve"> resources that evoke mystery, manipulation or seduction, reproducing stereotypes such as the </w:t>
      </w:r>
      <w:r w:rsidRPr="00BD62E7">
        <w:rPr>
          <w:i/>
          <w:iCs/>
          <w:color w:val="231F20"/>
          <w:sz w:val="20"/>
          <w:szCs w:val="20"/>
          <w:lang w:val="en-GB"/>
        </w:rPr>
        <w:t>femme fatale</w:t>
      </w:r>
      <w:r w:rsidRPr="00BD62E7">
        <w:rPr>
          <w:color w:val="231F20"/>
          <w:sz w:val="20"/>
          <w:szCs w:val="20"/>
          <w:lang w:val="en-GB"/>
        </w:rPr>
        <w:t>. This differential attention responds not only to the media interest elicited by crimes committed by women — still perceived as exceptional — but also to a narrative strategy that exploits this distinctiveness to generate impact. In contrast, stories led by male protagonists tend to be framed within more structural plots, connected to dynamics of organised crime, institutional violence or serial killers, which evidences an approach more closely linked to systemic factors.</w:t>
      </w:r>
    </w:p>
    <w:p w14:paraId="557C9BD1"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Likewise, most of the crimes narrated occur in contexts where no prior relationship existed between victim and perpetrator, exposing dramatic narratives about random violence and its emotional impact. However, affective dynamics — whether romantic, familial or workplace</w:t>
      </w:r>
      <w:r w:rsidRPr="00BD62E7">
        <w:rPr>
          <w:rFonts w:ascii="Cambria Math" w:eastAsia="Cambria Math" w:hAnsi="Cambria Math" w:cs="Cambria Math"/>
          <w:color w:val="231F20"/>
          <w:sz w:val="20"/>
          <w:szCs w:val="20"/>
          <w:lang w:val="en-GB"/>
        </w:rPr>
        <w:t>‑</w:t>
      </w:r>
      <w:r w:rsidRPr="00BD62E7">
        <w:rPr>
          <w:color w:val="231F20"/>
          <w:sz w:val="20"/>
          <w:szCs w:val="20"/>
          <w:lang w:val="en-GB"/>
        </w:rPr>
        <w:t>based — also acquire relevance, allowing for the exploration of complex relationships of power, dependency and betrayal, thereby providing the stories with greater emotional and social richness. Finally, the temporal concentration of the events in the decades of the 1990s and 2010s highlights the persistence and relevance of certain cases within the Spanish collective memory, transforming them into recurrent narrative material that is constantly reinterpreted and evidences the ability of true crime to connect with audiences through history and its multiple layers of meaning.</w:t>
      </w:r>
    </w:p>
    <w:p w14:paraId="287284BB"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It is important to note, however, that the results presented here must be interpreted </w:t>
      </w:r>
      <w:proofErr w:type="gramStart"/>
      <w:r w:rsidRPr="00BD62E7">
        <w:rPr>
          <w:color w:val="231F20"/>
          <w:sz w:val="20"/>
          <w:szCs w:val="20"/>
          <w:lang w:val="en-GB"/>
        </w:rPr>
        <w:t>in light of</w:t>
      </w:r>
      <w:proofErr w:type="gramEnd"/>
      <w:r w:rsidRPr="00BD62E7">
        <w:rPr>
          <w:color w:val="231F20"/>
          <w:sz w:val="20"/>
          <w:szCs w:val="20"/>
          <w:lang w:val="en-GB"/>
        </w:rPr>
        <w:t xml:space="preserve"> the methodological delimitation adopted. The analysis has focused exclusively on true crime productions based on homicides, which makes it possible to identify recurring narrative patterns within one of the most consolidated and </w:t>
      </w:r>
      <w:proofErr w:type="spellStart"/>
      <w:r w:rsidRPr="00BD62E7">
        <w:rPr>
          <w:color w:val="231F20"/>
          <w:sz w:val="20"/>
          <w:szCs w:val="20"/>
          <w:lang w:val="en-GB"/>
        </w:rPr>
        <w:t>mediatically</w:t>
      </w:r>
      <w:proofErr w:type="spellEnd"/>
      <w:r w:rsidRPr="00BD62E7">
        <w:rPr>
          <w:color w:val="231F20"/>
          <w:sz w:val="20"/>
          <w:szCs w:val="20"/>
          <w:lang w:val="en-GB"/>
        </w:rPr>
        <w:t xml:space="preserve"> relevant subgenres of contemporary true crime, but limits the generalisation of the conclusions to other types of criminality. Productions centred on fraud, disappearances, financial crimes or organised criminal activity without a fatal outcome might articulate partially different narrative strategies, ethical frameworks and gender representations that are not included in this study.</w:t>
      </w:r>
    </w:p>
    <w:p w14:paraId="4C5AD1AD"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Ultimately, Spanish true crime for VOD is consolidating itself as a genre that has moved beyond the circumstantial to establish itself as stable, profitable content with wide scope for development. Far from limiting itself to the exposition of criminal events, these productions adopt a multifaceted perspective that interrogates the moral, judicial and media dimensions from which narratives are constructed. In this regard, future research could examine the impact of these representations on social perceptions of criminality and justice, as well as the effect that intensive consumption of true crime may have on the sensitisation or trivialisation of violence. Likewise, the ethical and deontological dimension merits careful attention, particularly in contexts of </w:t>
      </w:r>
      <w:proofErr w:type="spellStart"/>
      <w:r w:rsidRPr="00BD62E7">
        <w:rPr>
          <w:color w:val="231F20"/>
          <w:sz w:val="20"/>
          <w:szCs w:val="20"/>
          <w:lang w:val="en-GB"/>
        </w:rPr>
        <w:t>revictimisation</w:t>
      </w:r>
      <w:proofErr w:type="spellEnd"/>
      <w:r w:rsidRPr="00BD62E7">
        <w:rPr>
          <w:color w:val="231F20"/>
          <w:sz w:val="20"/>
          <w:szCs w:val="20"/>
          <w:lang w:val="en-GB"/>
        </w:rPr>
        <w:t xml:space="preserve">, the </w:t>
      </w:r>
      <w:proofErr w:type="spellStart"/>
      <w:r w:rsidRPr="00BD62E7">
        <w:rPr>
          <w:color w:val="231F20"/>
          <w:sz w:val="20"/>
          <w:szCs w:val="20"/>
          <w:lang w:val="en-GB"/>
        </w:rPr>
        <w:t>spectacularisation</w:t>
      </w:r>
      <w:proofErr w:type="spellEnd"/>
      <w:r w:rsidRPr="00BD62E7">
        <w:rPr>
          <w:color w:val="231F20"/>
          <w:sz w:val="20"/>
          <w:szCs w:val="20"/>
          <w:lang w:val="en-GB"/>
        </w:rPr>
        <w:t xml:space="preserve"> of suffering and the negotiation of boundaries between information, entertainment and respect for those involved. Finally, the study of the internationalisation of true crime and comparative work with other European or Latin American audiovisual productions may offer new perspectives on the specificity of the Spanish case and the global trends of the genre.</w:t>
      </w:r>
    </w:p>
    <w:p w14:paraId="532AA839" w14:textId="77777777" w:rsidR="00083156" w:rsidRPr="00BD62E7" w:rsidRDefault="00083156">
      <w:pPr>
        <w:widowControl/>
        <w:pBdr>
          <w:top w:val="nil"/>
          <w:left w:val="nil"/>
          <w:bottom w:val="nil"/>
          <w:right w:val="nil"/>
          <w:between w:val="nil"/>
        </w:pBdr>
        <w:spacing w:after="80"/>
        <w:rPr>
          <w:color w:val="000000"/>
          <w:lang w:val="en-GB"/>
        </w:rPr>
      </w:pPr>
    </w:p>
    <w:p w14:paraId="26846C66" w14:textId="77777777" w:rsidR="00083156" w:rsidRDefault="00000000">
      <w:pPr>
        <w:pStyle w:val="Ttulo1"/>
        <w:widowControl/>
        <w:numPr>
          <w:ilvl w:val="0"/>
          <w:numId w:val="2"/>
        </w:numPr>
        <w:spacing w:after="80"/>
        <w:rPr>
          <w:rFonts w:ascii="Garamond" w:eastAsia="Garamond" w:hAnsi="Garamond" w:cs="Garamond"/>
          <w:b/>
          <w:bCs/>
          <w:color w:val="98361E"/>
        </w:rPr>
      </w:pPr>
      <w:proofErr w:type="spellStart"/>
      <w:r>
        <w:rPr>
          <w:rFonts w:ascii="Garamond" w:eastAsia="Garamond" w:hAnsi="Garamond" w:cs="Garamond"/>
          <w:b/>
          <w:bCs/>
          <w:color w:val="98361E"/>
        </w:rPr>
        <w:t>Bibliography</w:t>
      </w:r>
      <w:proofErr w:type="spellEnd"/>
    </w:p>
    <w:p w14:paraId="413F48CA" w14:textId="77777777" w:rsidR="00083156"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Antezana, L. (2021). Ecosistema de producción ficcional chilena en la era del </w:t>
      </w:r>
      <w:proofErr w:type="spellStart"/>
      <w:r>
        <w:rPr>
          <w:color w:val="231F20"/>
          <w:sz w:val="20"/>
          <w:szCs w:val="20"/>
        </w:rPr>
        <w:t>streaming</w:t>
      </w:r>
      <w:proofErr w:type="spellEnd"/>
      <w:r>
        <w:rPr>
          <w:color w:val="231F20"/>
          <w:sz w:val="20"/>
          <w:szCs w:val="20"/>
        </w:rPr>
        <w:t>. En Sierra Sánchez, J. y Gomes Pintos, J. (Coord.),</w:t>
      </w:r>
      <w:r>
        <w:rPr>
          <w:i/>
          <w:iCs/>
          <w:color w:val="231F20"/>
          <w:sz w:val="20"/>
          <w:szCs w:val="20"/>
        </w:rPr>
        <w:t xml:space="preserve"> Audiovisual e Industrias Creativas. Presente y Futuro</w:t>
      </w:r>
      <w:r>
        <w:rPr>
          <w:color w:val="231F20"/>
          <w:sz w:val="20"/>
          <w:szCs w:val="20"/>
        </w:rPr>
        <w:t xml:space="preserve"> (pp. 239-252). Madrid.</w:t>
      </w:r>
    </w:p>
    <w:p w14:paraId="33D84F04"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rPr>
        <w:t xml:space="preserve">Álvarez Monzoncillo, J. M. (2024). </w:t>
      </w:r>
      <w:r>
        <w:rPr>
          <w:i/>
          <w:iCs/>
          <w:color w:val="231F20"/>
          <w:sz w:val="20"/>
          <w:szCs w:val="20"/>
        </w:rPr>
        <w:t>Innovación y postproducción en el audiovisual español: el caso de Netflix.</w:t>
      </w:r>
      <w:r>
        <w:rPr>
          <w:color w:val="231F20"/>
          <w:sz w:val="20"/>
          <w:szCs w:val="20"/>
        </w:rPr>
        <w:t xml:space="preserve"> </w:t>
      </w:r>
      <w:hyperlink r:id="rId16">
        <w:r w:rsidRPr="00BD62E7">
          <w:rPr>
            <w:color w:val="1155CC"/>
            <w:sz w:val="20"/>
            <w:szCs w:val="20"/>
            <w:u w:val="single"/>
            <w:lang w:val="en-GB"/>
          </w:rPr>
          <w:t>https://tinyurl.com/bdfts2mt</w:t>
        </w:r>
      </w:hyperlink>
    </w:p>
    <w:p w14:paraId="0C5C19EF"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Boling, K. S. (2019). True crime podcasting: journalism, justice or entertainment? </w:t>
      </w:r>
      <w:r w:rsidRPr="00BD62E7">
        <w:rPr>
          <w:i/>
          <w:iCs/>
          <w:color w:val="231F20"/>
          <w:sz w:val="20"/>
          <w:szCs w:val="20"/>
          <w:lang w:val="en-GB"/>
        </w:rPr>
        <w:t>Radio Journal: International Studies in Broadcast &amp; Audio Media, 17</w:t>
      </w:r>
      <w:r w:rsidRPr="00BD62E7">
        <w:rPr>
          <w:color w:val="231F20"/>
          <w:sz w:val="20"/>
          <w:szCs w:val="20"/>
          <w:lang w:val="en-GB"/>
        </w:rPr>
        <w:t>(2), 161-178.</w:t>
      </w:r>
      <w:hyperlink r:id="rId17">
        <w:r w:rsidRPr="00BD62E7">
          <w:rPr>
            <w:color w:val="0000FF"/>
            <w:sz w:val="20"/>
            <w:szCs w:val="20"/>
            <w:u w:val="single"/>
            <w:lang w:val="en-GB"/>
          </w:rPr>
          <w:t xml:space="preserve"> https://doi.org/10.1386/rjao_00003_1</w:t>
        </w:r>
      </w:hyperlink>
    </w:p>
    <w:p w14:paraId="445B9242"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rPr>
        <w:t xml:space="preserve">Bretón, A. (10/06/2023). Las mujeres, más enganchadas con el true </w:t>
      </w:r>
      <w:proofErr w:type="spellStart"/>
      <w:r>
        <w:rPr>
          <w:color w:val="231F20"/>
          <w:sz w:val="20"/>
          <w:szCs w:val="20"/>
        </w:rPr>
        <w:t>crime</w:t>
      </w:r>
      <w:proofErr w:type="spellEnd"/>
      <w:r>
        <w:rPr>
          <w:color w:val="231F20"/>
          <w:sz w:val="20"/>
          <w:szCs w:val="20"/>
        </w:rPr>
        <w:t xml:space="preserve">. Si es tu caso, estos son algunos títulos que no te puedes perder. </w:t>
      </w:r>
      <w:r w:rsidRPr="00BD62E7">
        <w:rPr>
          <w:i/>
          <w:iCs/>
          <w:color w:val="231F20"/>
          <w:sz w:val="20"/>
          <w:szCs w:val="20"/>
          <w:lang w:val="en-GB"/>
        </w:rPr>
        <w:t xml:space="preserve">El Mundo. </w:t>
      </w:r>
      <w:hyperlink r:id="rId18">
        <w:r w:rsidRPr="00BD62E7">
          <w:rPr>
            <w:color w:val="0000FF"/>
            <w:sz w:val="20"/>
            <w:szCs w:val="20"/>
            <w:u w:val="single"/>
            <w:lang w:val="en-GB"/>
          </w:rPr>
          <w:t>https://tinyurl.com/359zcws3</w:t>
        </w:r>
      </w:hyperlink>
    </w:p>
    <w:p w14:paraId="0806BCCE"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Bruzzi, S. (2016). Making a genre: the case of the contemporary true crime documentary. </w:t>
      </w:r>
      <w:r w:rsidRPr="00BD62E7">
        <w:rPr>
          <w:i/>
          <w:iCs/>
          <w:color w:val="231F20"/>
          <w:sz w:val="20"/>
          <w:szCs w:val="20"/>
          <w:lang w:val="en-GB"/>
        </w:rPr>
        <w:t>Law And Humanities, 10</w:t>
      </w:r>
      <w:r w:rsidRPr="00BD62E7">
        <w:rPr>
          <w:color w:val="231F20"/>
          <w:sz w:val="20"/>
          <w:szCs w:val="20"/>
          <w:lang w:val="en-GB"/>
        </w:rPr>
        <w:t xml:space="preserve">(2), 249–280. </w:t>
      </w:r>
      <w:hyperlink r:id="rId19">
        <w:r w:rsidRPr="00BD62E7">
          <w:rPr>
            <w:color w:val="1155CC"/>
            <w:sz w:val="20"/>
            <w:szCs w:val="20"/>
            <w:u w:val="single"/>
            <w:lang w:val="en-GB"/>
          </w:rPr>
          <w:t>https://doi.org/10.1080/17521483.2016.1233741</w:t>
        </w:r>
      </w:hyperlink>
    </w:p>
    <w:p w14:paraId="0585E19D"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proofErr w:type="spellStart"/>
      <w:r w:rsidRPr="00BD62E7">
        <w:rPr>
          <w:color w:val="231F20"/>
          <w:sz w:val="20"/>
          <w:szCs w:val="20"/>
          <w:lang w:val="en-GB"/>
        </w:rPr>
        <w:t>Chalaby</w:t>
      </w:r>
      <w:proofErr w:type="spellEnd"/>
      <w:r w:rsidRPr="00BD62E7">
        <w:rPr>
          <w:color w:val="231F20"/>
          <w:sz w:val="20"/>
          <w:szCs w:val="20"/>
          <w:lang w:val="en-GB"/>
        </w:rPr>
        <w:t xml:space="preserve">, J. (2016). Television and globalization: The TV content global value chain. </w:t>
      </w:r>
      <w:r w:rsidRPr="00BD62E7">
        <w:rPr>
          <w:i/>
          <w:iCs/>
          <w:color w:val="231F20"/>
          <w:sz w:val="20"/>
          <w:szCs w:val="20"/>
          <w:lang w:val="en-GB"/>
        </w:rPr>
        <w:t>Journal of Communication, 66</w:t>
      </w:r>
      <w:r w:rsidRPr="00BD62E7">
        <w:rPr>
          <w:color w:val="231F20"/>
          <w:sz w:val="20"/>
          <w:szCs w:val="20"/>
          <w:lang w:val="en-GB"/>
        </w:rPr>
        <w:t>(1), 35-59.</w:t>
      </w:r>
    </w:p>
    <w:p w14:paraId="7C2CEF0A" w14:textId="77777777" w:rsidR="00083156" w:rsidRDefault="00000000">
      <w:pPr>
        <w:widowControl/>
        <w:pBdr>
          <w:top w:val="nil"/>
          <w:left w:val="nil"/>
          <w:bottom w:val="nil"/>
          <w:right w:val="nil"/>
          <w:between w:val="nil"/>
        </w:pBdr>
        <w:spacing w:after="80"/>
        <w:ind w:left="426" w:right="370"/>
        <w:jc w:val="both"/>
        <w:rPr>
          <w:color w:val="231F20"/>
          <w:sz w:val="20"/>
          <w:szCs w:val="20"/>
        </w:rPr>
      </w:pPr>
      <w:r w:rsidRPr="00BD62E7">
        <w:rPr>
          <w:color w:val="231F20"/>
          <w:sz w:val="20"/>
          <w:szCs w:val="20"/>
          <w:lang w:val="en-GB"/>
        </w:rPr>
        <w:t xml:space="preserve">Eren, C. (2025). The New True Crime: How the Rise of Serialized Storytelling Is Transforming Innocence. </w:t>
      </w:r>
      <w:proofErr w:type="spellStart"/>
      <w:r>
        <w:rPr>
          <w:i/>
          <w:iCs/>
          <w:color w:val="231F20"/>
          <w:sz w:val="20"/>
          <w:szCs w:val="20"/>
        </w:rPr>
        <w:t>Contemporary</w:t>
      </w:r>
      <w:proofErr w:type="spellEnd"/>
      <w:r>
        <w:rPr>
          <w:i/>
          <w:iCs/>
          <w:color w:val="231F20"/>
          <w:sz w:val="20"/>
          <w:szCs w:val="20"/>
        </w:rPr>
        <w:t xml:space="preserve"> </w:t>
      </w:r>
      <w:proofErr w:type="spellStart"/>
      <w:r>
        <w:rPr>
          <w:i/>
          <w:iCs/>
          <w:color w:val="231F20"/>
          <w:sz w:val="20"/>
          <w:szCs w:val="20"/>
        </w:rPr>
        <w:t>Sociology</w:t>
      </w:r>
      <w:proofErr w:type="spellEnd"/>
      <w:r>
        <w:rPr>
          <w:i/>
          <w:iCs/>
          <w:color w:val="231F20"/>
          <w:sz w:val="20"/>
          <w:szCs w:val="20"/>
        </w:rPr>
        <w:t>, 54</w:t>
      </w:r>
      <w:r>
        <w:rPr>
          <w:color w:val="231F20"/>
          <w:sz w:val="20"/>
          <w:szCs w:val="20"/>
        </w:rPr>
        <w:t>(2), 159-160. https://doi.org/10.1177/00943061241311411m</w:t>
      </w:r>
    </w:p>
    <w:p w14:paraId="62DB5CE0" w14:textId="77777777" w:rsidR="00083156"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Garrido Genovés, V. (2024). El género true </w:t>
      </w:r>
      <w:proofErr w:type="spellStart"/>
      <w:r>
        <w:rPr>
          <w:color w:val="231F20"/>
          <w:sz w:val="20"/>
          <w:szCs w:val="20"/>
        </w:rPr>
        <w:t>crime</w:t>
      </w:r>
      <w:proofErr w:type="spellEnd"/>
      <w:r>
        <w:rPr>
          <w:color w:val="231F20"/>
          <w:sz w:val="20"/>
          <w:szCs w:val="20"/>
        </w:rPr>
        <w:t xml:space="preserve"> y la criminología: una introducción. </w:t>
      </w:r>
      <w:r>
        <w:rPr>
          <w:i/>
          <w:iCs/>
          <w:color w:val="231F20"/>
          <w:sz w:val="20"/>
          <w:szCs w:val="20"/>
        </w:rPr>
        <w:t>Boletín Criminológico</w:t>
      </w:r>
      <w:r>
        <w:rPr>
          <w:color w:val="231F20"/>
          <w:sz w:val="20"/>
          <w:szCs w:val="20"/>
        </w:rPr>
        <w:t xml:space="preserve">, </w:t>
      </w:r>
      <w:r>
        <w:rPr>
          <w:i/>
          <w:iCs/>
          <w:color w:val="231F20"/>
          <w:sz w:val="20"/>
          <w:szCs w:val="20"/>
        </w:rPr>
        <w:t>30</w:t>
      </w:r>
      <w:r>
        <w:rPr>
          <w:color w:val="231F20"/>
          <w:sz w:val="20"/>
          <w:szCs w:val="20"/>
        </w:rPr>
        <w:t xml:space="preserve">(234), 1-24. </w:t>
      </w:r>
      <w:hyperlink r:id="rId20">
        <w:r>
          <w:rPr>
            <w:color w:val="0000FF"/>
            <w:sz w:val="20"/>
            <w:szCs w:val="20"/>
            <w:u w:val="single"/>
          </w:rPr>
          <w:t>https://doi.org/10.24310/bc.30.2024.20681</w:t>
        </w:r>
      </w:hyperlink>
    </w:p>
    <w:p w14:paraId="1486DC2A" w14:textId="77777777" w:rsidR="00083156"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Gutiérrez-González, C. &amp; Uribe-Jongbloed, E. (2025). La responsabilidad creativa y la proximidad cultural en la ficción de la televisión pública regional colombiana. </w:t>
      </w:r>
      <w:r>
        <w:rPr>
          <w:i/>
          <w:iCs/>
          <w:color w:val="231F20"/>
          <w:sz w:val="20"/>
          <w:szCs w:val="20"/>
        </w:rPr>
        <w:t>Comunicación y Sociedad,</w:t>
      </w:r>
      <w:r>
        <w:rPr>
          <w:color w:val="231F20"/>
          <w:sz w:val="20"/>
          <w:szCs w:val="20"/>
        </w:rPr>
        <w:t xml:space="preserve"> 1–25. </w:t>
      </w:r>
      <w:hyperlink r:id="rId21">
        <w:r>
          <w:rPr>
            <w:color w:val="1155CC"/>
            <w:sz w:val="20"/>
            <w:szCs w:val="20"/>
            <w:u w:val="single"/>
          </w:rPr>
          <w:t>https://doi.org/10.32870/cys.v2025.8891</w:t>
        </w:r>
      </w:hyperlink>
    </w:p>
    <w:p w14:paraId="14B8E21F" w14:textId="77777777" w:rsidR="00083156"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Hidalgo-Marí, T., y García-Escrivá, V. (2024). </w:t>
      </w:r>
      <w:r w:rsidRPr="00BD62E7">
        <w:rPr>
          <w:color w:val="231F20"/>
          <w:sz w:val="20"/>
          <w:szCs w:val="20"/>
          <w:lang w:val="en-GB"/>
        </w:rPr>
        <w:t xml:space="preserve">The production of Spanish fiction series for SVOD: Evolution, trends and strategies. </w:t>
      </w:r>
      <w:proofErr w:type="spellStart"/>
      <w:r>
        <w:rPr>
          <w:i/>
          <w:iCs/>
          <w:color w:val="231F20"/>
          <w:sz w:val="20"/>
          <w:szCs w:val="20"/>
        </w:rPr>
        <w:t>Communication</w:t>
      </w:r>
      <w:proofErr w:type="spellEnd"/>
      <w:r>
        <w:rPr>
          <w:i/>
          <w:iCs/>
          <w:color w:val="231F20"/>
          <w:sz w:val="20"/>
          <w:szCs w:val="20"/>
        </w:rPr>
        <w:t xml:space="preserve"> &amp; </w:t>
      </w:r>
      <w:proofErr w:type="spellStart"/>
      <w:r>
        <w:rPr>
          <w:i/>
          <w:iCs/>
          <w:color w:val="231F20"/>
          <w:sz w:val="20"/>
          <w:szCs w:val="20"/>
        </w:rPr>
        <w:t>Society</w:t>
      </w:r>
      <w:proofErr w:type="spellEnd"/>
      <w:r>
        <w:rPr>
          <w:i/>
          <w:iCs/>
          <w:color w:val="231F20"/>
          <w:sz w:val="20"/>
          <w:szCs w:val="20"/>
        </w:rPr>
        <w:t>, 37</w:t>
      </w:r>
      <w:r>
        <w:rPr>
          <w:color w:val="231F20"/>
          <w:sz w:val="20"/>
          <w:szCs w:val="20"/>
        </w:rPr>
        <w:t>(2), 35-48.</w:t>
      </w:r>
      <w:hyperlink r:id="rId22">
        <w:r>
          <w:rPr>
            <w:color w:val="0000FF"/>
            <w:sz w:val="20"/>
            <w:szCs w:val="20"/>
            <w:u w:val="single"/>
          </w:rPr>
          <w:t xml:space="preserve"> https://doi.org/10.15581/003.37.2.35-48</w:t>
        </w:r>
      </w:hyperlink>
    </w:p>
    <w:p w14:paraId="13C76ED8" w14:textId="77777777" w:rsidR="00083156"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Hidalgo-Marí, T., Segarra-Saavedra, J., &amp; Palomares-Sánchez, P. (2022). Hacia un nuevo canon televisivo: La historia reciente de la ficción española creada para el VOD (2016-2020). </w:t>
      </w:r>
      <w:r>
        <w:rPr>
          <w:i/>
          <w:iCs/>
          <w:color w:val="231F20"/>
          <w:sz w:val="20"/>
          <w:szCs w:val="20"/>
        </w:rPr>
        <w:t>Revista Latina de Comunicación Social,</w:t>
      </w:r>
      <w:r>
        <w:rPr>
          <w:color w:val="231F20"/>
          <w:sz w:val="20"/>
          <w:szCs w:val="20"/>
        </w:rPr>
        <w:t xml:space="preserve"> 80, 119-134. </w:t>
      </w:r>
      <w:hyperlink r:id="rId23">
        <w:r>
          <w:rPr>
            <w:color w:val="1155CC"/>
            <w:sz w:val="20"/>
            <w:szCs w:val="20"/>
            <w:u w:val="single"/>
          </w:rPr>
          <w:t>https://www.doi.org/10.4185/RLCS-2022-1533</w:t>
        </w:r>
      </w:hyperlink>
    </w:p>
    <w:p w14:paraId="64F4150E"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proofErr w:type="spellStart"/>
      <w:r w:rsidRPr="00BD62E7">
        <w:rPr>
          <w:color w:val="231F20"/>
          <w:sz w:val="20"/>
          <w:szCs w:val="20"/>
          <w:lang w:val="en-GB"/>
        </w:rPr>
        <w:t>Horeck</w:t>
      </w:r>
      <w:proofErr w:type="spellEnd"/>
      <w:r w:rsidRPr="00BD62E7">
        <w:rPr>
          <w:color w:val="231F20"/>
          <w:sz w:val="20"/>
          <w:szCs w:val="20"/>
          <w:lang w:val="en-GB"/>
        </w:rPr>
        <w:t xml:space="preserve">, T. (2019). </w:t>
      </w:r>
      <w:r w:rsidRPr="00BD62E7">
        <w:rPr>
          <w:i/>
          <w:iCs/>
          <w:color w:val="231F20"/>
          <w:sz w:val="20"/>
          <w:szCs w:val="20"/>
          <w:lang w:val="en-GB"/>
        </w:rPr>
        <w:t xml:space="preserve">Justice on demand. True crime in the digital streaming era. </w:t>
      </w:r>
      <w:r w:rsidRPr="00BD62E7">
        <w:rPr>
          <w:color w:val="231F20"/>
          <w:sz w:val="20"/>
          <w:szCs w:val="20"/>
          <w:lang w:val="en-GB"/>
        </w:rPr>
        <w:t>Wayne State University Press.</w:t>
      </w:r>
    </w:p>
    <w:p w14:paraId="02D8A9F5"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Irshad, F. (2022). Exploring the Presence of the Digital Detective within the True-Crime Genre and its Online Spaces. In </w:t>
      </w:r>
      <w:r w:rsidRPr="00BD62E7">
        <w:rPr>
          <w:i/>
          <w:iCs/>
          <w:color w:val="231F20"/>
          <w:sz w:val="20"/>
          <w:szCs w:val="20"/>
          <w:lang w:val="en-GB"/>
        </w:rPr>
        <w:t>Critiquing Violent Crime in the Media</w:t>
      </w:r>
      <w:r w:rsidRPr="00BD62E7">
        <w:rPr>
          <w:color w:val="231F20"/>
          <w:sz w:val="20"/>
          <w:szCs w:val="20"/>
          <w:lang w:val="en-GB"/>
        </w:rPr>
        <w:t xml:space="preserve"> (pp. 337-354). Springer International Publishing.</w:t>
      </w:r>
    </w:p>
    <w:p w14:paraId="4CFCD6BF"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pt-BR"/>
        </w:rPr>
        <w:t>Komissarov, S. y Sánchez-</w:t>
      </w:r>
      <w:proofErr w:type="spellStart"/>
      <w:r w:rsidRPr="00BD62E7">
        <w:rPr>
          <w:color w:val="231F20"/>
          <w:sz w:val="20"/>
          <w:szCs w:val="20"/>
          <w:lang w:val="pt-BR"/>
        </w:rPr>
        <w:t>Narvarte</w:t>
      </w:r>
      <w:proofErr w:type="spellEnd"/>
      <w:r w:rsidRPr="00BD62E7">
        <w:rPr>
          <w:color w:val="231F20"/>
          <w:sz w:val="20"/>
          <w:szCs w:val="20"/>
          <w:lang w:val="pt-BR"/>
        </w:rPr>
        <w:t xml:space="preserve">, E. (2019). </w:t>
      </w:r>
      <w:r w:rsidRPr="00BD62E7">
        <w:rPr>
          <w:color w:val="231F20"/>
          <w:sz w:val="20"/>
          <w:szCs w:val="20"/>
          <w:lang w:val="en-GB"/>
        </w:rPr>
        <w:t xml:space="preserve">Go big or go home! La </w:t>
      </w:r>
      <w:proofErr w:type="spellStart"/>
      <w:r w:rsidRPr="00BD62E7">
        <w:rPr>
          <w:color w:val="231F20"/>
          <w:sz w:val="20"/>
          <w:szCs w:val="20"/>
          <w:lang w:val="en-GB"/>
        </w:rPr>
        <w:t>integración</w:t>
      </w:r>
      <w:proofErr w:type="spellEnd"/>
      <w:r w:rsidRPr="00BD62E7">
        <w:rPr>
          <w:color w:val="231F20"/>
          <w:sz w:val="20"/>
          <w:szCs w:val="20"/>
          <w:lang w:val="en-GB"/>
        </w:rPr>
        <w:t xml:space="preserve"> vertical AT&amp;T-Time Warner. </w:t>
      </w:r>
      <w:proofErr w:type="spellStart"/>
      <w:proofErr w:type="gramStart"/>
      <w:r w:rsidRPr="00BD62E7">
        <w:rPr>
          <w:i/>
          <w:iCs/>
          <w:color w:val="231F20"/>
          <w:sz w:val="20"/>
          <w:szCs w:val="20"/>
          <w:lang w:val="en-GB"/>
        </w:rPr>
        <w:t>index.comunicación</w:t>
      </w:r>
      <w:proofErr w:type="spellEnd"/>
      <w:proofErr w:type="gramEnd"/>
      <w:r w:rsidRPr="00BD62E7">
        <w:rPr>
          <w:i/>
          <w:iCs/>
          <w:color w:val="231F20"/>
          <w:sz w:val="20"/>
          <w:szCs w:val="20"/>
          <w:lang w:val="en-GB"/>
        </w:rPr>
        <w:t>, 9</w:t>
      </w:r>
      <w:r w:rsidRPr="00BD62E7">
        <w:rPr>
          <w:color w:val="231F20"/>
          <w:sz w:val="20"/>
          <w:szCs w:val="20"/>
          <w:lang w:val="en-GB"/>
        </w:rPr>
        <w:t>(3), 35-58.</w:t>
      </w:r>
    </w:p>
    <w:p w14:paraId="1AC746D1"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Kort-Butler, L. A. y Sittner Hartshorn, K. J. (2011). Watching the detectives: Crime programming, </w:t>
      </w:r>
      <w:proofErr w:type="spellStart"/>
      <w:r w:rsidRPr="00BD62E7">
        <w:rPr>
          <w:color w:val="231F20"/>
          <w:sz w:val="20"/>
          <w:szCs w:val="20"/>
          <w:lang w:val="en-GB"/>
        </w:rPr>
        <w:t>fearof</w:t>
      </w:r>
      <w:proofErr w:type="spellEnd"/>
      <w:r w:rsidRPr="00BD62E7">
        <w:rPr>
          <w:color w:val="231F20"/>
          <w:sz w:val="20"/>
          <w:szCs w:val="20"/>
          <w:lang w:val="en-GB"/>
        </w:rPr>
        <w:t xml:space="preserve"> crime, and attitudes about the criminal justice system. </w:t>
      </w:r>
      <w:r w:rsidRPr="00BD62E7">
        <w:rPr>
          <w:i/>
          <w:iCs/>
          <w:color w:val="231F20"/>
          <w:sz w:val="20"/>
          <w:szCs w:val="20"/>
          <w:lang w:val="en-GB"/>
        </w:rPr>
        <w:t>The Sociological Quarterly, 52</w:t>
      </w:r>
      <w:r w:rsidRPr="00BD62E7">
        <w:rPr>
          <w:color w:val="231F20"/>
          <w:sz w:val="20"/>
          <w:szCs w:val="20"/>
          <w:lang w:val="en-GB"/>
        </w:rPr>
        <w:t xml:space="preserve">(1), 36-55. </w:t>
      </w:r>
      <w:hyperlink r:id="rId24">
        <w:r w:rsidRPr="00BD62E7">
          <w:rPr>
            <w:color w:val="1155CC"/>
            <w:sz w:val="20"/>
            <w:szCs w:val="20"/>
            <w:u w:val="single"/>
            <w:lang w:val="en-GB"/>
          </w:rPr>
          <w:t>https://doi.org/10.1111/j.1533-8525.2010.01191.x</w:t>
        </w:r>
      </w:hyperlink>
    </w:p>
    <w:p w14:paraId="69F479D8"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lastRenderedPageBreak/>
        <w:t xml:space="preserve">Lobato, R. (2019). </w:t>
      </w:r>
      <w:r w:rsidRPr="00BD62E7">
        <w:rPr>
          <w:i/>
          <w:iCs/>
          <w:color w:val="231F20"/>
          <w:sz w:val="20"/>
          <w:szCs w:val="20"/>
          <w:lang w:val="en-GB"/>
        </w:rPr>
        <w:t>Netflix Nations: The Geography of Digital Distribution.</w:t>
      </w:r>
      <w:r w:rsidRPr="00BD62E7">
        <w:rPr>
          <w:color w:val="231F20"/>
          <w:sz w:val="20"/>
          <w:szCs w:val="20"/>
          <w:lang w:val="en-GB"/>
        </w:rPr>
        <w:t xml:space="preserve"> NYU Press.</w:t>
      </w:r>
    </w:p>
    <w:p w14:paraId="62F33CF7"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Lotz, A. (2014). </w:t>
      </w:r>
      <w:r w:rsidRPr="00BD62E7">
        <w:rPr>
          <w:i/>
          <w:iCs/>
          <w:color w:val="231F20"/>
          <w:sz w:val="20"/>
          <w:szCs w:val="20"/>
          <w:lang w:val="en-GB"/>
        </w:rPr>
        <w:t>The Television Will Be Revolutionized</w:t>
      </w:r>
      <w:r w:rsidRPr="00BD62E7">
        <w:rPr>
          <w:color w:val="231F20"/>
          <w:sz w:val="20"/>
          <w:szCs w:val="20"/>
          <w:lang w:val="en-GB"/>
        </w:rPr>
        <w:t>. NYU Press.</w:t>
      </w:r>
    </w:p>
    <w:p w14:paraId="2876C658" w14:textId="77777777" w:rsidR="00083156" w:rsidRDefault="00000000">
      <w:pPr>
        <w:widowControl/>
        <w:pBdr>
          <w:top w:val="nil"/>
          <w:left w:val="nil"/>
          <w:bottom w:val="nil"/>
          <w:right w:val="nil"/>
          <w:between w:val="nil"/>
        </w:pBdr>
        <w:spacing w:after="80"/>
        <w:ind w:left="426" w:right="370"/>
        <w:jc w:val="both"/>
        <w:rPr>
          <w:color w:val="231F20"/>
          <w:sz w:val="20"/>
          <w:szCs w:val="20"/>
        </w:rPr>
      </w:pPr>
      <w:r w:rsidRPr="00BD62E7">
        <w:rPr>
          <w:color w:val="231F20"/>
          <w:sz w:val="20"/>
          <w:szCs w:val="20"/>
          <w:lang w:val="en-GB"/>
        </w:rPr>
        <w:t xml:space="preserve">Maddalena, S. N. (2021). </w:t>
      </w:r>
      <w:r w:rsidRPr="00BD62E7">
        <w:rPr>
          <w:i/>
          <w:iCs/>
          <w:color w:val="231F20"/>
          <w:sz w:val="20"/>
          <w:szCs w:val="20"/>
          <w:lang w:val="en-GB"/>
        </w:rPr>
        <w:t>True Crime Female Audiences and Social Media Engagement: A Uses and Gratifications Study</w:t>
      </w:r>
      <w:r w:rsidRPr="00BD62E7">
        <w:rPr>
          <w:color w:val="231F20"/>
          <w:sz w:val="20"/>
          <w:szCs w:val="20"/>
          <w:lang w:val="en-GB"/>
        </w:rPr>
        <w:t xml:space="preserve">. </w:t>
      </w:r>
      <w:proofErr w:type="spellStart"/>
      <w:r>
        <w:rPr>
          <w:color w:val="231F20"/>
          <w:sz w:val="20"/>
          <w:szCs w:val="20"/>
        </w:rPr>
        <w:t>University</w:t>
      </w:r>
      <w:proofErr w:type="spellEnd"/>
      <w:r>
        <w:rPr>
          <w:color w:val="231F20"/>
          <w:sz w:val="20"/>
          <w:szCs w:val="20"/>
        </w:rPr>
        <w:t xml:space="preserve"> </w:t>
      </w:r>
      <w:proofErr w:type="spellStart"/>
      <w:r>
        <w:rPr>
          <w:color w:val="231F20"/>
          <w:sz w:val="20"/>
          <w:szCs w:val="20"/>
        </w:rPr>
        <w:t>of</w:t>
      </w:r>
      <w:proofErr w:type="spellEnd"/>
      <w:r>
        <w:rPr>
          <w:color w:val="231F20"/>
          <w:sz w:val="20"/>
          <w:szCs w:val="20"/>
        </w:rPr>
        <w:t xml:space="preserve"> Nebraska at Omaha.</w:t>
      </w:r>
    </w:p>
    <w:p w14:paraId="6FA3E60C"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rPr>
        <w:t xml:space="preserve">Márquez, P., &amp; Arciniegas, M. F. (2020). Industria de contenidos audiovisuales y plataformas digitales: Análisis desde el derecho de la competencia. </w:t>
      </w:r>
      <w:r w:rsidRPr="00BD62E7">
        <w:rPr>
          <w:i/>
          <w:iCs/>
          <w:color w:val="231F20"/>
          <w:sz w:val="20"/>
          <w:szCs w:val="20"/>
          <w:lang w:val="en-GB"/>
        </w:rPr>
        <w:t xml:space="preserve">THEMIS: Revista de </w:t>
      </w:r>
      <w:proofErr w:type="spellStart"/>
      <w:r w:rsidRPr="00BD62E7">
        <w:rPr>
          <w:i/>
          <w:iCs/>
          <w:color w:val="231F20"/>
          <w:sz w:val="20"/>
          <w:szCs w:val="20"/>
          <w:lang w:val="en-GB"/>
        </w:rPr>
        <w:t>Derecho</w:t>
      </w:r>
      <w:proofErr w:type="spellEnd"/>
      <w:r w:rsidRPr="00BD62E7">
        <w:rPr>
          <w:i/>
          <w:iCs/>
          <w:color w:val="231F20"/>
          <w:sz w:val="20"/>
          <w:szCs w:val="20"/>
          <w:lang w:val="en-GB"/>
        </w:rPr>
        <w:t xml:space="preserve">, </w:t>
      </w:r>
      <w:r w:rsidRPr="00BD62E7">
        <w:rPr>
          <w:color w:val="231F20"/>
          <w:sz w:val="20"/>
          <w:szCs w:val="20"/>
          <w:lang w:val="en-GB"/>
        </w:rPr>
        <w:t>(78), 457-483.</w:t>
      </w:r>
    </w:p>
    <w:p w14:paraId="7DBD5085" w14:textId="77777777" w:rsidR="00083156" w:rsidRDefault="00000000">
      <w:pPr>
        <w:widowControl/>
        <w:pBdr>
          <w:top w:val="nil"/>
          <w:left w:val="nil"/>
          <w:bottom w:val="nil"/>
          <w:right w:val="nil"/>
          <w:between w:val="nil"/>
        </w:pBdr>
        <w:spacing w:after="80"/>
        <w:ind w:left="426" w:right="370"/>
        <w:jc w:val="both"/>
        <w:rPr>
          <w:color w:val="231F20"/>
          <w:sz w:val="20"/>
          <w:szCs w:val="20"/>
        </w:rPr>
      </w:pPr>
      <w:r w:rsidRPr="00BD62E7">
        <w:rPr>
          <w:color w:val="231F20"/>
          <w:sz w:val="20"/>
          <w:szCs w:val="20"/>
          <w:lang w:val="en-GB"/>
        </w:rPr>
        <w:t>McDonald, M. M., James, R. M., &amp; Roberto, D. P. (2021). True crime consumption as defensive vigilance: Psychological mechanisms of a rape avoidance system.</w:t>
      </w:r>
      <w:r w:rsidRPr="00BD62E7">
        <w:rPr>
          <w:i/>
          <w:iCs/>
          <w:color w:val="231F20"/>
          <w:sz w:val="20"/>
          <w:szCs w:val="20"/>
          <w:lang w:val="en-GB"/>
        </w:rPr>
        <w:t xml:space="preserve"> </w:t>
      </w:r>
      <w:r>
        <w:rPr>
          <w:i/>
          <w:iCs/>
          <w:color w:val="231F20"/>
          <w:sz w:val="20"/>
          <w:szCs w:val="20"/>
        </w:rPr>
        <w:t xml:space="preserve">Archives </w:t>
      </w:r>
      <w:proofErr w:type="spellStart"/>
      <w:r>
        <w:rPr>
          <w:i/>
          <w:iCs/>
          <w:color w:val="231F20"/>
          <w:sz w:val="20"/>
          <w:szCs w:val="20"/>
        </w:rPr>
        <w:t>of</w:t>
      </w:r>
      <w:proofErr w:type="spellEnd"/>
      <w:r>
        <w:rPr>
          <w:i/>
          <w:iCs/>
          <w:color w:val="231F20"/>
          <w:sz w:val="20"/>
          <w:szCs w:val="20"/>
        </w:rPr>
        <w:t xml:space="preserve"> sexual </w:t>
      </w:r>
      <w:proofErr w:type="spellStart"/>
      <w:r>
        <w:rPr>
          <w:i/>
          <w:iCs/>
          <w:color w:val="231F20"/>
          <w:sz w:val="20"/>
          <w:szCs w:val="20"/>
        </w:rPr>
        <w:t>behavior</w:t>
      </w:r>
      <w:proofErr w:type="spellEnd"/>
      <w:r>
        <w:rPr>
          <w:i/>
          <w:iCs/>
          <w:color w:val="231F20"/>
          <w:sz w:val="20"/>
          <w:szCs w:val="20"/>
        </w:rPr>
        <w:t>, 50</w:t>
      </w:r>
      <w:r>
        <w:rPr>
          <w:color w:val="231F20"/>
          <w:sz w:val="20"/>
          <w:szCs w:val="20"/>
        </w:rPr>
        <w:t>(5), 2085-2108.</w:t>
      </w:r>
    </w:p>
    <w:p w14:paraId="62C6E963" w14:textId="77777777" w:rsidR="00083156" w:rsidRDefault="00000000">
      <w:pPr>
        <w:widowControl/>
        <w:pBdr>
          <w:top w:val="nil"/>
          <w:left w:val="nil"/>
          <w:bottom w:val="nil"/>
          <w:right w:val="nil"/>
          <w:between w:val="nil"/>
        </w:pBdr>
        <w:spacing w:after="80"/>
        <w:ind w:left="426" w:right="370"/>
        <w:jc w:val="both"/>
        <w:rPr>
          <w:color w:val="231F20"/>
          <w:sz w:val="20"/>
          <w:szCs w:val="20"/>
        </w:rPr>
      </w:pPr>
      <w:r>
        <w:rPr>
          <w:color w:val="231F20"/>
          <w:sz w:val="20"/>
          <w:szCs w:val="20"/>
        </w:rPr>
        <w:t xml:space="preserve">Morla, J. (16/04/2025). Anagrama renuncia definitivamente a la publicación de ‘El odio’, el libro sobre José Bretón que escribe </w:t>
      </w:r>
      <w:proofErr w:type="spellStart"/>
      <w:r>
        <w:rPr>
          <w:color w:val="231F20"/>
          <w:sz w:val="20"/>
          <w:szCs w:val="20"/>
        </w:rPr>
        <w:t>Luisgé</w:t>
      </w:r>
      <w:proofErr w:type="spellEnd"/>
      <w:r>
        <w:rPr>
          <w:color w:val="231F20"/>
          <w:sz w:val="20"/>
          <w:szCs w:val="20"/>
        </w:rPr>
        <w:t xml:space="preserve"> Martín. </w:t>
      </w:r>
      <w:r>
        <w:rPr>
          <w:i/>
          <w:iCs/>
          <w:color w:val="231F20"/>
          <w:sz w:val="20"/>
          <w:szCs w:val="20"/>
        </w:rPr>
        <w:t xml:space="preserve">El País. </w:t>
      </w:r>
      <w:hyperlink r:id="rId25">
        <w:r>
          <w:rPr>
            <w:color w:val="1155CC"/>
            <w:sz w:val="20"/>
            <w:szCs w:val="20"/>
            <w:u w:val="single"/>
          </w:rPr>
          <w:t>https://tinyurl.com/27ksxbu6</w:t>
        </w:r>
      </w:hyperlink>
    </w:p>
    <w:p w14:paraId="03F46A89"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proofErr w:type="spellStart"/>
      <w:r>
        <w:rPr>
          <w:color w:val="231F20"/>
          <w:sz w:val="20"/>
          <w:szCs w:val="20"/>
        </w:rPr>
        <w:t>Mucientes</w:t>
      </w:r>
      <w:proofErr w:type="spellEnd"/>
      <w:r>
        <w:rPr>
          <w:color w:val="231F20"/>
          <w:sz w:val="20"/>
          <w:szCs w:val="20"/>
        </w:rPr>
        <w:t xml:space="preserve">, E. (30/07/2025). El misterio de Angi, la serie sobre la asesina del "crimen perfecto" que Netflix ha estrenado en absoluto silencio. </w:t>
      </w:r>
      <w:r w:rsidRPr="00BD62E7">
        <w:rPr>
          <w:i/>
          <w:iCs/>
          <w:color w:val="231F20"/>
          <w:sz w:val="20"/>
          <w:szCs w:val="20"/>
          <w:lang w:val="en-GB"/>
        </w:rPr>
        <w:t>El Mundo.</w:t>
      </w:r>
      <w:r w:rsidRPr="00BD62E7">
        <w:rPr>
          <w:color w:val="231F20"/>
          <w:sz w:val="20"/>
          <w:szCs w:val="20"/>
          <w:lang w:val="en-GB"/>
        </w:rPr>
        <w:t xml:space="preserve"> </w:t>
      </w:r>
      <w:hyperlink r:id="rId26">
        <w:r w:rsidRPr="00BD62E7">
          <w:rPr>
            <w:color w:val="1155CC"/>
            <w:sz w:val="20"/>
            <w:szCs w:val="20"/>
            <w:u w:val="single"/>
            <w:lang w:val="en-GB"/>
          </w:rPr>
          <w:t>https://tinyurl.com/yfmjz5cc</w:t>
        </w:r>
      </w:hyperlink>
    </w:p>
    <w:p w14:paraId="52A7CF01"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Phillips, B. M. (2017). </w:t>
      </w:r>
      <w:r w:rsidRPr="00BD62E7">
        <w:rPr>
          <w:i/>
          <w:iCs/>
          <w:color w:val="231F20"/>
          <w:sz w:val="20"/>
          <w:szCs w:val="20"/>
          <w:lang w:val="en-GB"/>
        </w:rPr>
        <w:t>“You want it all to happen now!”: The Jinx, The Imposter, and Re-enacting the Digital Thriller in True Crime Documentaries</w:t>
      </w:r>
      <w:r w:rsidRPr="00BD62E7">
        <w:rPr>
          <w:color w:val="231F20"/>
          <w:sz w:val="20"/>
          <w:szCs w:val="20"/>
          <w:lang w:val="en-GB"/>
        </w:rPr>
        <w:t>. University of South Florida.</w:t>
      </w:r>
      <w:hyperlink r:id="rId27">
        <w:r w:rsidRPr="00BD62E7">
          <w:rPr>
            <w:color w:val="0000FF"/>
            <w:sz w:val="20"/>
            <w:szCs w:val="20"/>
            <w:u w:val="single"/>
            <w:lang w:val="en-GB"/>
          </w:rPr>
          <w:t xml:space="preserve"> </w:t>
        </w:r>
      </w:hyperlink>
      <w:hyperlink r:id="rId28">
        <w:r w:rsidRPr="00BD62E7">
          <w:rPr>
            <w:color w:val="0000FF"/>
            <w:sz w:val="20"/>
            <w:szCs w:val="20"/>
            <w:u w:val="single"/>
            <w:lang w:val="en-GB"/>
          </w:rPr>
          <w:t>https://tinyurl.com/42munr7z</w:t>
        </w:r>
      </w:hyperlink>
    </w:p>
    <w:p w14:paraId="0ABD2CE9"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Romero Domínguez, L. </w:t>
      </w:r>
      <w:proofErr w:type="gramStart"/>
      <w:r w:rsidRPr="00BD62E7">
        <w:rPr>
          <w:color w:val="231F20"/>
          <w:sz w:val="20"/>
          <w:szCs w:val="20"/>
          <w:lang w:val="en-GB"/>
        </w:rPr>
        <w:t>R. .</w:t>
      </w:r>
      <w:proofErr w:type="gramEnd"/>
      <w:r w:rsidRPr="00BD62E7">
        <w:rPr>
          <w:color w:val="231F20"/>
          <w:sz w:val="20"/>
          <w:szCs w:val="20"/>
          <w:lang w:val="en-GB"/>
        </w:rPr>
        <w:t xml:space="preserve"> </w:t>
      </w:r>
      <w:r>
        <w:rPr>
          <w:color w:val="231F20"/>
          <w:sz w:val="20"/>
          <w:szCs w:val="20"/>
        </w:rPr>
        <w:t>(2020). Narrativas del crimen en los documentales de no ficción</w:t>
      </w:r>
      <w:proofErr w:type="gramStart"/>
      <w:r>
        <w:rPr>
          <w:color w:val="231F20"/>
          <w:sz w:val="20"/>
          <w:szCs w:val="20"/>
        </w:rPr>
        <w:t>: :</w:t>
      </w:r>
      <w:proofErr w:type="gramEnd"/>
      <w:r>
        <w:rPr>
          <w:color w:val="231F20"/>
          <w:sz w:val="20"/>
          <w:szCs w:val="20"/>
        </w:rPr>
        <w:t xml:space="preserve"> éxito del true </w:t>
      </w:r>
      <w:proofErr w:type="spellStart"/>
      <w:r>
        <w:rPr>
          <w:color w:val="231F20"/>
          <w:sz w:val="20"/>
          <w:szCs w:val="20"/>
        </w:rPr>
        <w:t>crime</w:t>
      </w:r>
      <w:proofErr w:type="spellEnd"/>
      <w:r>
        <w:rPr>
          <w:color w:val="231F20"/>
          <w:sz w:val="20"/>
          <w:szCs w:val="20"/>
        </w:rPr>
        <w:t xml:space="preserve"> en las plataformas VOD. </w:t>
      </w:r>
      <w:r w:rsidRPr="00BD62E7">
        <w:rPr>
          <w:i/>
          <w:iCs/>
          <w:color w:val="231F20"/>
          <w:sz w:val="20"/>
          <w:szCs w:val="20"/>
          <w:lang w:val="en-GB"/>
        </w:rPr>
        <w:t xml:space="preserve">RPC, </w:t>
      </w:r>
      <w:r w:rsidRPr="00BD62E7">
        <w:rPr>
          <w:color w:val="231F20"/>
          <w:sz w:val="20"/>
          <w:szCs w:val="20"/>
          <w:lang w:val="en-GB"/>
        </w:rPr>
        <w:t>(2), 11–20. https://doi.org/10.21555/rpc.v0i2.2332</w:t>
      </w:r>
    </w:p>
    <w:p w14:paraId="1670AE6E"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Rowe, M. (2012). Just like a TV show: Public criminology and the media coverage of ‘hunt for Britain’s most wanted man’. </w:t>
      </w:r>
      <w:r w:rsidRPr="00BD62E7">
        <w:rPr>
          <w:i/>
          <w:iCs/>
          <w:color w:val="231F20"/>
          <w:sz w:val="20"/>
          <w:szCs w:val="20"/>
          <w:lang w:val="en-GB"/>
        </w:rPr>
        <w:t>Crime, Media, Culture, 9</w:t>
      </w:r>
      <w:r w:rsidRPr="00BD62E7">
        <w:rPr>
          <w:color w:val="231F20"/>
          <w:sz w:val="20"/>
          <w:szCs w:val="20"/>
          <w:lang w:val="en-GB"/>
        </w:rPr>
        <w:t>(1), 23-38.</w:t>
      </w:r>
      <w:hyperlink r:id="rId29">
        <w:r w:rsidRPr="00BD62E7">
          <w:rPr>
            <w:color w:val="0000FF"/>
            <w:sz w:val="20"/>
            <w:szCs w:val="20"/>
            <w:u w:val="single"/>
            <w:lang w:val="en-GB"/>
          </w:rPr>
          <w:t xml:space="preserve"> https://doi.org/10.1177/1741659012438298</w:t>
        </w:r>
      </w:hyperlink>
    </w:p>
    <w:p w14:paraId="7BE065E2"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Tinker, R. (2018). Guilty pleasure: A case study of true crime’s resurgence in a binge consumption era. </w:t>
      </w:r>
      <w:r w:rsidRPr="00BD62E7">
        <w:rPr>
          <w:i/>
          <w:iCs/>
          <w:color w:val="231F20"/>
          <w:sz w:val="20"/>
          <w:szCs w:val="20"/>
          <w:lang w:val="en-GB"/>
        </w:rPr>
        <w:t>Elon Journal of Undergraduate Research in Communications, 9</w:t>
      </w:r>
      <w:r w:rsidRPr="00BD62E7">
        <w:rPr>
          <w:color w:val="231F20"/>
          <w:sz w:val="20"/>
          <w:szCs w:val="20"/>
          <w:lang w:val="en-GB"/>
        </w:rPr>
        <w:t>(1), 95-107.</w:t>
      </w:r>
    </w:p>
    <w:p w14:paraId="6AB18A95" w14:textId="77777777" w:rsidR="00083156" w:rsidRPr="00BD62E7" w:rsidRDefault="00000000">
      <w:pPr>
        <w:widowControl/>
        <w:pBdr>
          <w:top w:val="nil"/>
          <w:left w:val="nil"/>
          <w:bottom w:val="nil"/>
          <w:right w:val="nil"/>
          <w:between w:val="nil"/>
        </w:pBdr>
        <w:spacing w:after="80"/>
        <w:ind w:left="426" w:right="370"/>
        <w:jc w:val="both"/>
        <w:rPr>
          <w:color w:val="231F20"/>
          <w:sz w:val="20"/>
          <w:szCs w:val="20"/>
          <w:lang w:val="en-GB"/>
        </w:rPr>
      </w:pPr>
      <w:r w:rsidRPr="00BD62E7">
        <w:rPr>
          <w:color w:val="231F20"/>
          <w:sz w:val="20"/>
          <w:szCs w:val="20"/>
          <w:lang w:val="en-GB"/>
        </w:rPr>
        <w:t xml:space="preserve">Vicary, A. M., &amp; Fraley, R. C. (2010). Captured by True Crime: Why Are Women Drawn to Tales of Rape, Murder, and Serial Killers? </w:t>
      </w:r>
      <w:r w:rsidRPr="00BD62E7">
        <w:rPr>
          <w:i/>
          <w:iCs/>
          <w:color w:val="231F20"/>
          <w:sz w:val="20"/>
          <w:szCs w:val="20"/>
          <w:lang w:val="en-GB"/>
        </w:rPr>
        <w:t>Social Psychological and Personality Science, 1</w:t>
      </w:r>
      <w:r w:rsidRPr="00BD62E7">
        <w:rPr>
          <w:color w:val="231F20"/>
          <w:sz w:val="20"/>
          <w:szCs w:val="20"/>
          <w:lang w:val="en-GB"/>
        </w:rPr>
        <w:t>(1), 81-86.</w:t>
      </w:r>
      <w:hyperlink r:id="rId30">
        <w:r w:rsidRPr="00BD62E7">
          <w:rPr>
            <w:color w:val="0000FF"/>
            <w:sz w:val="20"/>
            <w:szCs w:val="20"/>
            <w:u w:val="single"/>
            <w:lang w:val="en-GB"/>
          </w:rPr>
          <w:t xml:space="preserve"> https://doi.org/10.1177/1948550609355486</w:t>
        </w:r>
      </w:hyperlink>
    </w:p>
    <w:p w14:paraId="381E5D28" w14:textId="77777777" w:rsidR="00083156" w:rsidRDefault="00000000">
      <w:pPr>
        <w:widowControl/>
        <w:pBdr>
          <w:top w:val="nil"/>
          <w:left w:val="nil"/>
          <w:bottom w:val="nil"/>
          <w:right w:val="nil"/>
          <w:between w:val="nil"/>
        </w:pBdr>
        <w:spacing w:after="80"/>
        <w:ind w:left="426" w:right="370"/>
        <w:jc w:val="both"/>
        <w:rPr>
          <w:sz w:val="20"/>
          <w:szCs w:val="20"/>
        </w:rPr>
      </w:pPr>
      <w:proofErr w:type="spellStart"/>
      <w:r w:rsidRPr="00BD62E7">
        <w:rPr>
          <w:color w:val="231F20"/>
          <w:sz w:val="20"/>
          <w:szCs w:val="20"/>
          <w:lang w:val="en-GB"/>
        </w:rPr>
        <w:t>Warmedal</w:t>
      </w:r>
      <w:proofErr w:type="spellEnd"/>
      <w:r w:rsidRPr="00BD62E7">
        <w:rPr>
          <w:color w:val="231F20"/>
          <w:sz w:val="20"/>
          <w:szCs w:val="20"/>
          <w:lang w:val="en-GB"/>
        </w:rPr>
        <w:t xml:space="preserve">, M. (2018). The future of high-quality documentaries reaching a world audience. </w:t>
      </w:r>
      <w:r>
        <w:rPr>
          <w:i/>
          <w:iCs/>
          <w:color w:val="231F20"/>
          <w:sz w:val="20"/>
          <w:szCs w:val="20"/>
        </w:rPr>
        <w:t xml:space="preserve">Global Investigative </w:t>
      </w:r>
      <w:proofErr w:type="spellStart"/>
      <w:r>
        <w:rPr>
          <w:i/>
          <w:iCs/>
          <w:color w:val="231F20"/>
          <w:sz w:val="20"/>
          <w:szCs w:val="20"/>
        </w:rPr>
        <w:t>Journalism</w:t>
      </w:r>
      <w:proofErr w:type="spellEnd"/>
      <w:r>
        <w:rPr>
          <w:i/>
          <w:iCs/>
          <w:color w:val="231F20"/>
          <w:sz w:val="20"/>
          <w:szCs w:val="20"/>
        </w:rPr>
        <w:t xml:space="preserve"> Network (GIJN).</w:t>
      </w:r>
      <w:r>
        <w:rPr>
          <w:color w:val="231F20"/>
          <w:sz w:val="20"/>
          <w:szCs w:val="20"/>
        </w:rPr>
        <w:t xml:space="preserve"> </w:t>
      </w:r>
      <w:hyperlink r:id="rId31">
        <w:r>
          <w:rPr>
            <w:color w:val="0000FF"/>
            <w:sz w:val="20"/>
            <w:szCs w:val="20"/>
            <w:u w:val="single"/>
          </w:rPr>
          <w:t>https://tinyurl.com/5e5nyw8p</w:t>
        </w:r>
      </w:hyperlink>
    </w:p>
    <w:p w14:paraId="7FE89800" w14:textId="77777777" w:rsidR="00083156" w:rsidRDefault="00083156">
      <w:pPr>
        <w:widowControl/>
        <w:spacing w:after="80"/>
        <w:ind w:left="426" w:right="370"/>
        <w:jc w:val="center"/>
        <w:rPr>
          <w:sz w:val="20"/>
          <w:szCs w:val="20"/>
        </w:rPr>
      </w:pPr>
    </w:p>
    <w:p w14:paraId="191C3B5A" w14:textId="77777777" w:rsidR="00083156" w:rsidRDefault="00000000">
      <w:pPr>
        <w:pStyle w:val="Ttulo1"/>
        <w:widowControl/>
        <w:numPr>
          <w:ilvl w:val="0"/>
          <w:numId w:val="2"/>
        </w:numPr>
        <w:spacing w:after="80"/>
        <w:rPr>
          <w:rFonts w:ascii="Garamond" w:eastAsia="Garamond" w:hAnsi="Garamond" w:cs="Garamond"/>
          <w:b/>
          <w:bCs/>
        </w:rPr>
      </w:pPr>
      <w:bookmarkStart w:id="1" w:name="_heading=h.rbuu13hk251t" w:colFirst="0" w:colLast="0"/>
      <w:bookmarkEnd w:id="1"/>
      <w:proofErr w:type="spellStart"/>
      <w:r>
        <w:rPr>
          <w:rFonts w:ascii="Garamond" w:eastAsia="Garamond" w:hAnsi="Garamond" w:cs="Garamond"/>
          <w:b/>
          <w:bCs/>
          <w:color w:val="98361E"/>
        </w:rPr>
        <w:t>Contributor</w:t>
      </w:r>
      <w:proofErr w:type="spellEnd"/>
      <w:r>
        <w:rPr>
          <w:rFonts w:ascii="Garamond" w:eastAsia="Garamond" w:hAnsi="Garamond" w:cs="Garamond"/>
          <w:b/>
          <w:bCs/>
          <w:color w:val="98361E"/>
        </w:rPr>
        <w:t xml:space="preserve"> Role </w:t>
      </w:r>
      <w:proofErr w:type="spellStart"/>
      <w:r>
        <w:rPr>
          <w:rFonts w:ascii="Garamond" w:eastAsia="Garamond" w:hAnsi="Garamond" w:cs="Garamond"/>
          <w:b/>
          <w:bCs/>
          <w:color w:val="98361E"/>
        </w:rPr>
        <w:t>Taxonomy</w:t>
      </w:r>
      <w:proofErr w:type="spellEnd"/>
      <w:r>
        <w:rPr>
          <w:rFonts w:ascii="Garamond" w:eastAsia="Garamond" w:hAnsi="Garamond" w:cs="Garamond"/>
          <w:b/>
          <w:bCs/>
          <w:color w:val="98361E"/>
        </w:rPr>
        <w:t xml:space="preserve"> (CRediT)</w:t>
      </w:r>
    </w:p>
    <w:p w14:paraId="6B1DAF34" w14:textId="77777777" w:rsidR="00083156" w:rsidRDefault="00083156">
      <w:pPr>
        <w:ind w:left="786"/>
      </w:pPr>
    </w:p>
    <w:tbl>
      <w:tblPr>
        <w:tblStyle w:val="af6"/>
        <w:tblW w:w="5610" w:type="dxa"/>
        <w:tblInd w:w="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1395"/>
        <w:gridCol w:w="1425"/>
      </w:tblGrid>
      <w:tr w:rsidR="00083156" w14:paraId="2484DE75" w14:textId="77777777">
        <w:trPr>
          <w:trHeight w:val="367"/>
        </w:trPr>
        <w:tc>
          <w:tcPr>
            <w:tcW w:w="2790" w:type="dxa"/>
            <w:tcMar>
              <w:top w:w="100" w:type="dxa"/>
              <w:left w:w="100" w:type="dxa"/>
              <w:bottom w:w="100" w:type="dxa"/>
              <w:right w:w="100" w:type="dxa"/>
            </w:tcMar>
          </w:tcPr>
          <w:p w14:paraId="6CD750FA" w14:textId="77777777" w:rsidR="00083156" w:rsidRDefault="00000000">
            <w:pPr>
              <w:pBdr>
                <w:top w:val="nil"/>
                <w:left w:val="nil"/>
                <w:bottom w:val="nil"/>
                <w:right w:val="nil"/>
                <w:between w:val="nil"/>
              </w:pBdr>
              <w:jc w:val="center"/>
              <w:rPr>
                <w:b/>
                <w:bCs/>
                <w:color w:val="98361E"/>
              </w:rPr>
            </w:pPr>
            <w:proofErr w:type="spellStart"/>
            <w:r>
              <w:rPr>
                <w:b/>
                <w:bCs/>
                <w:color w:val="98361E"/>
              </w:rPr>
              <w:t>Task</w:t>
            </w:r>
            <w:proofErr w:type="spellEnd"/>
          </w:p>
        </w:tc>
        <w:tc>
          <w:tcPr>
            <w:tcW w:w="1395" w:type="dxa"/>
            <w:tcMar>
              <w:top w:w="100" w:type="dxa"/>
              <w:left w:w="100" w:type="dxa"/>
              <w:bottom w:w="100" w:type="dxa"/>
              <w:right w:w="100" w:type="dxa"/>
            </w:tcMar>
          </w:tcPr>
          <w:p w14:paraId="1B4A8706" w14:textId="77777777" w:rsidR="00083156" w:rsidRDefault="00000000">
            <w:pPr>
              <w:pBdr>
                <w:top w:val="nil"/>
                <w:left w:val="nil"/>
                <w:bottom w:val="nil"/>
                <w:right w:val="nil"/>
                <w:between w:val="nil"/>
              </w:pBdr>
              <w:jc w:val="center"/>
              <w:rPr>
                <w:b/>
                <w:bCs/>
                <w:color w:val="98361E"/>
              </w:rPr>
            </w:pPr>
            <w:r>
              <w:rPr>
                <w:b/>
                <w:bCs/>
                <w:color w:val="98361E"/>
              </w:rPr>
              <w:t>Signer 1</w:t>
            </w:r>
          </w:p>
        </w:tc>
        <w:tc>
          <w:tcPr>
            <w:tcW w:w="1425" w:type="dxa"/>
            <w:tcMar>
              <w:top w:w="100" w:type="dxa"/>
              <w:left w:w="100" w:type="dxa"/>
              <w:bottom w:w="100" w:type="dxa"/>
              <w:right w:w="100" w:type="dxa"/>
            </w:tcMar>
          </w:tcPr>
          <w:p w14:paraId="152AC2EE" w14:textId="77777777" w:rsidR="00083156" w:rsidRDefault="00000000">
            <w:pPr>
              <w:pBdr>
                <w:top w:val="nil"/>
                <w:left w:val="nil"/>
                <w:bottom w:val="nil"/>
                <w:right w:val="nil"/>
                <w:between w:val="nil"/>
              </w:pBdr>
              <w:jc w:val="center"/>
              <w:rPr>
                <w:b/>
                <w:bCs/>
                <w:color w:val="98361E"/>
              </w:rPr>
            </w:pPr>
            <w:r>
              <w:rPr>
                <w:b/>
                <w:bCs/>
                <w:color w:val="98361E"/>
              </w:rPr>
              <w:t>Signer 2</w:t>
            </w:r>
          </w:p>
        </w:tc>
      </w:tr>
      <w:tr w:rsidR="00083156" w14:paraId="1A535ABE" w14:textId="77777777">
        <w:trPr>
          <w:trHeight w:val="427"/>
        </w:trPr>
        <w:tc>
          <w:tcPr>
            <w:tcW w:w="2790" w:type="dxa"/>
            <w:tcMar>
              <w:top w:w="100" w:type="dxa"/>
              <w:left w:w="100" w:type="dxa"/>
              <w:bottom w:w="100" w:type="dxa"/>
              <w:right w:w="100" w:type="dxa"/>
            </w:tcMar>
          </w:tcPr>
          <w:p w14:paraId="1856F89C" w14:textId="77777777" w:rsidR="00083156" w:rsidRDefault="00000000">
            <w:pPr>
              <w:pBdr>
                <w:top w:val="nil"/>
                <w:left w:val="nil"/>
                <w:bottom w:val="nil"/>
                <w:right w:val="nil"/>
                <w:between w:val="nil"/>
              </w:pBdr>
              <w:jc w:val="center"/>
              <w:rPr>
                <w:color w:val="98361E"/>
              </w:rPr>
            </w:pPr>
            <w:proofErr w:type="spellStart"/>
            <w:r>
              <w:rPr>
                <w:color w:val="98361E"/>
              </w:rPr>
              <w:t>Conceptualisation</w:t>
            </w:r>
            <w:proofErr w:type="spellEnd"/>
          </w:p>
        </w:tc>
        <w:tc>
          <w:tcPr>
            <w:tcW w:w="1395" w:type="dxa"/>
            <w:tcMar>
              <w:top w:w="100" w:type="dxa"/>
              <w:left w:w="100" w:type="dxa"/>
              <w:bottom w:w="100" w:type="dxa"/>
              <w:right w:w="100" w:type="dxa"/>
            </w:tcMar>
          </w:tcPr>
          <w:p w14:paraId="5B8C44CC"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2F3834EE" w14:textId="77777777" w:rsidR="00083156" w:rsidRDefault="00000000">
            <w:pPr>
              <w:pBdr>
                <w:top w:val="nil"/>
                <w:left w:val="nil"/>
                <w:bottom w:val="nil"/>
                <w:right w:val="nil"/>
                <w:between w:val="nil"/>
              </w:pBdr>
              <w:jc w:val="center"/>
              <w:rPr>
                <w:color w:val="98361E"/>
              </w:rPr>
            </w:pPr>
            <w:r>
              <w:rPr>
                <w:color w:val="98361E"/>
              </w:rPr>
              <w:t>X</w:t>
            </w:r>
          </w:p>
        </w:tc>
      </w:tr>
      <w:tr w:rsidR="00083156" w14:paraId="65CB2AD9" w14:textId="77777777">
        <w:tc>
          <w:tcPr>
            <w:tcW w:w="2790" w:type="dxa"/>
            <w:tcMar>
              <w:top w:w="100" w:type="dxa"/>
              <w:left w:w="100" w:type="dxa"/>
              <w:bottom w:w="100" w:type="dxa"/>
              <w:right w:w="100" w:type="dxa"/>
            </w:tcMar>
          </w:tcPr>
          <w:p w14:paraId="0ACCDB0E" w14:textId="77777777" w:rsidR="00083156" w:rsidRDefault="00000000">
            <w:pPr>
              <w:pBdr>
                <w:top w:val="nil"/>
                <w:left w:val="nil"/>
                <w:bottom w:val="nil"/>
                <w:right w:val="nil"/>
                <w:between w:val="nil"/>
              </w:pBdr>
              <w:jc w:val="center"/>
              <w:rPr>
                <w:color w:val="98361E"/>
              </w:rPr>
            </w:pPr>
            <w:r>
              <w:rPr>
                <w:color w:val="98361E"/>
              </w:rPr>
              <w:t xml:space="preserve">Data </w:t>
            </w:r>
            <w:proofErr w:type="spellStart"/>
            <w:r>
              <w:rPr>
                <w:color w:val="98361E"/>
              </w:rPr>
              <w:t>curation</w:t>
            </w:r>
            <w:proofErr w:type="spellEnd"/>
          </w:p>
        </w:tc>
        <w:tc>
          <w:tcPr>
            <w:tcW w:w="1395" w:type="dxa"/>
            <w:tcMar>
              <w:top w:w="100" w:type="dxa"/>
              <w:left w:w="100" w:type="dxa"/>
              <w:bottom w:w="100" w:type="dxa"/>
              <w:right w:w="100" w:type="dxa"/>
            </w:tcMar>
          </w:tcPr>
          <w:p w14:paraId="6FFC6C1E"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41CCB867" w14:textId="77777777" w:rsidR="00083156" w:rsidRDefault="00000000">
            <w:pPr>
              <w:pBdr>
                <w:top w:val="nil"/>
                <w:left w:val="nil"/>
                <w:bottom w:val="nil"/>
                <w:right w:val="nil"/>
                <w:between w:val="nil"/>
              </w:pBdr>
              <w:jc w:val="center"/>
              <w:rPr>
                <w:color w:val="98361E"/>
              </w:rPr>
            </w:pPr>
            <w:r>
              <w:rPr>
                <w:color w:val="98361E"/>
              </w:rPr>
              <w:t>X</w:t>
            </w:r>
          </w:p>
        </w:tc>
      </w:tr>
      <w:tr w:rsidR="00083156" w14:paraId="3F37B2D0" w14:textId="77777777">
        <w:trPr>
          <w:trHeight w:val="322"/>
        </w:trPr>
        <w:tc>
          <w:tcPr>
            <w:tcW w:w="2790" w:type="dxa"/>
            <w:tcMar>
              <w:top w:w="100" w:type="dxa"/>
              <w:left w:w="100" w:type="dxa"/>
              <w:bottom w:w="100" w:type="dxa"/>
              <w:right w:w="100" w:type="dxa"/>
            </w:tcMar>
          </w:tcPr>
          <w:p w14:paraId="3E37A218" w14:textId="77777777" w:rsidR="00083156" w:rsidRDefault="00000000">
            <w:pPr>
              <w:pBdr>
                <w:top w:val="nil"/>
                <w:left w:val="nil"/>
                <w:bottom w:val="nil"/>
                <w:right w:val="nil"/>
                <w:between w:val="nil"/>
              </w:pBdr>
              <w:jc w:val="center"/>
              <w:rPr>
                <w:color w:val="98361E"/>
              </w:rPr>
            </w:pPr>
            <w:r>
              <w:rPr>
                <w:color w:val="98361E"/>
              </w:rPr>
              <w:lastRenderedPageBreak/>
              <w:t xml:space="preserve">Formal </w:t>
            </w:r>
            <w:proofErr w:type="spellStart"/>
            <w:r>
              <w:rPr>
                <w:color w:val="98361E"/>
              </w:rPr>
              <w:t>analysis</w:t>
            </w:r>
            <w:proofErr w:type="spellEnd"/>
          </w:p>
        </w:tc>
        <w:tc>
          <w:tcPr>
            <w:tcW w:w="1395" w:type="dxa"/>
            <w:tcMar>
              <w:top w:w="100" w:type="dxa"/>
              <w:left w:w="100" w:type="dxa"/>
              <w:bottom w:w="100" w:type="dxa"/>
              <w:right w:w="100" w:type="dxa"/>
            </w:tcMar>
          </w:tcPr>
          <w:p w14:paraId="775255B2"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2CAE8BD8" w14:textId="77777777" w:rsidR="00083156" w:rsidRDefault="00000000">
            <w:pPr>
              <w:pBdr>
                <w:top w:val="nil"/>
                <w:left w:val="nil"/>
                <w:bottom w:val="nil"/>
                <w:right w:val="nil"/>
                <w:between w:val="nil"/>
              </w:pBdr>
              <w:jc w:val="center"/>
              <w:rPr>
                <w:color w:val="98361E"/>
              </w:rPr>
            </w:pPr>
            <w:r>
              <w:rPr>
                <w:color w:val="98361E"/>
              </w:rPr>
              <w:t>X</w:t>
            </w:r>
          </w:p>
        </w:tc>
      </w:tr>
      <w:tr w:rsidR="00083156" w14:paraId="133F450F" w14:textId="77777777">
        <w:tc>
          <w:tcPr>
            <w:tcW w:w="2790" w:type="dxa"/>
            <w:tcMar>
              <w:top w:w="100" w:type="dxa"/>
              <w:left w:w="100" w:type="dxa"/>
              <w:bottom w:w="100" w:type="dxa"/>
              <w:right w:w="100" w:type="dxa"/>
            </w:tcMar>
          </w:tcPr>
          <w:p w14:paraId="56D3AB21" w14:textId="77777777" w:rsidR="00083156" w:rsidRDefault="00000000">
            <w:pPr>
              <w:pBdr>
                <w:top w:val="nil"/>
                <w:left w:val="nil"/>
                <w:bottom w:val="nil"/>
                <w:right w:val="nil"/>
                <w:between w:val="nil"/>
              </w:pBdr>
              <w:jc w:val="center"/>
              <w:rPr>
                <w:color w:val="98361E"/>
              </w:rPr>
            </w:pPr>
            <w:proofErr w:type="spellStart"/>
            <w:r>
              <w:rPr>
                <w:color w:val="98361E"/>
              </w:rPr>
              <w:t>Investigation</w:t>
            </w:r>
            <w:proofErr w:type="spellEnd"/>
          </w:p>
        </w:tc>
        <w:tc>
          <w:tcPr>
            <w:tcW w:w="1395" w:type="dxa"/>
            <w:tcMar>
              <w:top w:w="100" w:type="dxa"/>
              <w:left w:w="100" w:type="dxa"/>
              <w:bottom w:w="100" w:type="dxa"/>
              <w:right w:w="100" w:type="dxa"/>
            </w:tcMar>
          </w:tcPr>
          <w:p w14:paraId="1158FB77"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1DB3BBFB" w14:textId="77777777" w:rsidR="00083156" w:rsidRDefault="00000000">
            <w:pPr>
              <w:pBdr>
                <w:top w:val="nil"/>
                <w:left w:val="nil"/>
                <w:bottom w:val="nil"/>
                <w:right w:val="nil"/>
                <w:between w:val="nil"/>
              </w:pBdr>
              <w:jc w:val="center"/>
              <w:rPr>
                <w:color w:val="98361E"/>
              </w:rPr>
            </w:pPr>
            <w:r>
              <w:rPr>
                <w:color w:val="98361E"/>
              </w:rPr>
              <w:t>X</w:t>
            </w:r>
          </w:p>
        </w:tc>
      </w:tr>
      <w:tr w:rsidR="00083156" w14:paraId="4873B92F" w14:textId="77777777">
        <w:tc>
          <w:tcPr>
            <w:tcW w:w="2790" w:type="dxa"/>
            <w:tcMar>
              <w:top w:w="100" w:type="dxa"/>
              <w:left w:w="100" w:type="dxa"/>
              <w:bottom w:w="100" w:type="dxa"/>
              <w:right w:w="100" w:type="dxa"/>
            </w:tcMar>
          </w:tcPr>
          <w:p w14:paraId="7D48FEC0" w14:textId="77777777" w:rsidR="00083156" w:rsidRDefault="00000000">
            <w:pPr>
              <w:pBdr>
                <w:top w:val="nil"/>
                <w:left w:val="nil"/>
                <w:bottom w:val="nil"/>
                <w:right w:val="nil"/>
                <w:between w:val="nil"/>
              </w:pBdr>
              <w:jc w:val="center"/>
              <w:rPr>
                <w:color w:val="98361E"/>
              </w:rPr>
            </w:pPr>
            <w:proofErr w:type="spellStart"/>
            <w:r>
              <w:rPr>
                <w:color w:val="98361E"/>
              </w:rPr>
              <w:t>Methodology</w:t>
            </w:r>
            <w:proofErr w:type="spellEnd"/>
          </w:p>
        </w:tc>
        <w:tc>
          <w:tcPr>
            <w:tcW w:w="1395" w:type="dxa"/>
            <w:tcMar>
              <w:top w:w="100" w:type="dxa"/>
              <w:left w:w="100" w:type="dxa"/>
              <w:bottom w:w="100" w:type="dxa"/>
              <w:right w:w="100" w:type="dxa"/>
            </w:tcMar>
          </w:tcPr>
          <w:p w14:paraId="746215B1"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71E71093" w14:textId="77777777" w:rsidR="00083156" w:rsidRDefault="00000000">
            <w:pPr>
              <w:pBdr>
                <w:top w:val="nil"/>
                <w:left w:val="nil"/>
                <w:bottom w:val="nil"/>
                <w:right w:val="nil"/>
                <w:between w:val="nil"/>
              </w:pBdr>
              <w:jc w:val="center"/>
              <w:rPr>
                <w:color w:val="98361E"/>
              </w:rPr>
            </w:pPr>
            <w:r>
              <w:rPr>
                <w:color w:val="98361E"/>
              </w:rPr>
              <w:t>X</w:t>
            </w:r>
          </w:p>
        </w:tc>
      </w:tr>
      <w:tr w:rsidR="00083156" w14:paraId="2BBD71A2" w14:textId="77777777">
        <w:tc>
          <w:tcPr>
            <w:tcW w:w="2790" w:type="dxa"/>
            <w:tcMar>
              <w:top w:w="100" w:type="dxa"/>
              <w:left w:w="100" w:type="dxa"/>
              <w:bottom w:w="100" w:type="dxa"/>
              <w:right w:w="100" w:type="dxa"/>
            </w:tcMar>
          </w:tcPr>
          <w:p w14:paraId="1A941B90" w14:textId="77777777" w:rsidR="00083156" w:rsidRDefault="00000000">
            <w:pPr>
              <w:pBdr>
                <w:top w:val="nil"/>
                <w:left w:val="nil"/>
                <w:bottom w:val="nil"/>
                <w:right w:val="nil"/>
                <w:between w:val="nil"/>
              </w:pBdr>
              <w:jc w:val="center"/>
              <w:rPr>
                <w:color w:val="98361E"/>
              </w:rPr>
            </w:pPr>
            <w:r>
              <w:rPr>
                <w:color w:val="98361E"/>
              </w:rPr>
              <w:t xml:space="preserve">Project </w:t>
            </w:r>
            <w:proofErr w:type="spellStart"/>
            <w:r>
              <w:rPr>
                <w:color w:val="98361E"/>
              </w:rPr>
              <w:t>administration</w:t>
            </w:r>
            <w:proofErr w:type="spellEnd"/>
          </w:p>
        </w:tc>
        <w:tc>
          <w:tcPr>
            <w:tcW w:w="1395" w:type="dxa"/>
            <w:tcMar>
              <w:top w:w="100" w:type="dxa"/>
              <w:left w:w="100" w:type="dxa"/>
              <w:bottom w:w="100" w:type="dxa"/>
              <w:right w:w="100" w:type="dxa"/>
            </w:tcMar>
          </w:tcPr>
          <w:p w14:paraId="3EF234D6"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6CE1C131" w14:textId="77777777" w:rsidR="00083156" w:rsidRDefault="00000000">
            <w:pPr>
              <w:pBdr>
                <w:top w:val="nil"/>
                <w:left w:val="nil"/>
                <w:bottom w:val="nil"/>
                <w:right w:val="nil"/>
                <w:between w:val="nil"/>
              </w:pBdr>
              <w:jc w:val="center"/>
              <w:rPr>
                <w:color w:val="98361E"/>
              </w:rPr>
            </w:pPr>
            <w:r>
              <w:rPr>
                <w:color w:val="98361E"/>
              </w:rPr>
              <w:t>X</w:t>
            </w:r>
          </w:p>
        </w:tc>
      </w:tr>
      <w:tr w:rsidR="00083156" w14:paraId="25070064" w14:textId="77777777">
        <w:tc>
          <w:tcPr>
            <w:tcW w:w="2790" w:type="dxa"/>
            <w:tcMar>
              <w:top w:w="100" w:type="dxa"/>
              <w:left w:w="100" w:type="dxa"/>
              <w:bottom w:w="100" w:type="dxa"/>
              <w:right w:w="100" w:type="dxa"/>
            </w:tcMar>
          </w:tcPr>
          <w:p w14:paraId="1DBD1F02" w14:textId="77777777" w:rsidR="00083156" w:rsidRDefault="00000000">
            <w:pPr>
              <w:pBdr>
                <w:top w:val="nil"/>
                <w:left w:val="nil"/>
                <w:bottom w:val="nil"/>
                <w:right w:val="nil"/>
                <w:between w:val="nil"/>
              </w:pBdr>
              <w:jc w:val="center"/>
              <w:rPr>
                <w:color w:val="98361E"/>
              </w:rPr>
            </w:pPr>
            <w:proofErr w:type="spellStart"/>
            <w:r>
              <w:rPr>
                <w:color w:val="98361E"/>
              </w:rPr>
              <w:t>Resources</w:t>
            </w:r>
            <w:proofErr w:type="spellEnd"/>
          </w:p>
        </w:tc>
        <w:tc>
          <w:tcPr>
            <w:tcW w:w="1395" w:type="dxa"/>
            <w:tcMar>
              <w:top w:w="100" w:type="dxa"/>
              <w:left w:w="100" w:type="dxa"/>
              <w:bottom w:w="100" w:type="dxa"/>
              <w:right w:w="100" w:type="dxa"/>
            </w:tcMar>
          </w:tcPr>
          <w:p w14:paraId="7B5B4A51"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783F0746" w14:textId="77777777" w:rsidR="00083156" w:rsidRDefault="00000000">
            <w:pPr>
              <w:pBdr>
                <w:top w:val="nil"/>
                <w:left w:val="nil"/>
                <w:bottom w:val="nil"/>
                <w:right w:val="nil"/>
                <w:between w:val="nil"/>
              </w:pBdr>
              <w:jc w:val="center"/>
              <w:rPr>
                <w:color w:val="98361E"/>
              </w:rPr>
            </w:pPr>
            <w:r>
              <w:rPr>
                <w:color w:val="98361E"/>
              </w:rPr>
              <w:t>X</w:t>
            </w:r>
          </w:p>
        </w:tc>
      </w:tr>
      <w:tr w:rsidR="00083156" w14:paraId="6EFB4E91" w14:textId="77777777">
        <w:tc>
          <w:tcPr>
            <w:tcW w:w="2790" w:type="dxa"/>
            <w:tcMar>
              <w:top w:w="100" w:type="dxa"/>
              <w:left w:w="100" w:type="dxa"/>
              <w:bottom w:w="100" w:type="dxa"/>
              <w:right w:w="100" w:type="dxa"/>
            </w:tcMar>
          </w:tcPr>
          <w:p w14:paraId="18A6CED4" w14:textId="77777777" w:rsidR="00083156" w:rsidRDefault="00000000">
            <w:pPr>
              <w:pBdr>
                <w:top w:val="nil"/>
                <w:left w:val="nil"/>
                <w:bottom w:val="nil"/>
                <w:right w:val="nil"/>
                <w:between w:val="nil"/>
              </w:pBdr>
              <w:jc w:val="center"/>
              <w:rPr>
                <w:color w:val="98361E"/>
              </w:rPr>
            </w:pPr>
            <w:r>
              <w:rPr>
                <w:color w:val="98361E"/>
              </w:rPr>
              <w:t>Software</w:t>
            </w:r>
          </w:p>
        </w:tc>
        <w:tc>
          <w:tcPr>
            <w:tcW w:w="1395" w:type="dxa"/>
            <w:tcMar>
              <w:top w:w="100" w:type="dxa"/>
              <w:left w:w="100" w:type="dxa"/>
              <w:bottom w:w="100" w:type="dxa"/>
              <w:right w:w="100" w:type="dxa"/>
            </w:tcMar>
          </w:tcPr>
          <w:p w14:paraId="52594DF7"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4710EA5A" w14:textId="77777777" w:rsidR="00083156" w:rsidRDefault="00000000">
            <w:pPr>
              <w:pBdr>
                <w:top w:val="nil"/>
                <w:left w:val="nil"/>
                <w:bottom w:val="nil"/>
                <w:right w:val="nil"/>
                <w:between w:val="nil"/>
              </w:pBdr>
              <w:jc w:val="center"/>
              <w:rPr>
                <w:color w:val="98361E"/>
              </w:rPr>
            </w:pPr>
            <w:r>
              <w:rPr>
                <w:color w:val="98361E"/>
              </w:rPr>
              <w:t>X</w:t>
            </w:r>
          </w:p>
        </w:tc>
      </w:tr>
      <w:tr w:rsidR="00083156" w14:paraId="067D3B5D" w14:textId="77777777">
        <w:tc>
          <w:tcPr>
            <w:tcW w:w="2790" w:type="dxa"/>
            <w:tcMar>
              <w:top w:w="100" w:type="dxa"/>
              <w:left w:w="100" w:type="dxa"/>
              <w:bottom w:w="100" w:type="dxa"/>
              <w:right w:w="100" w:type="dxa"/>
            </w:tcMar>
          </w:tcPr>
          <w:p w14:paraId="3A0202A4" w14:textId="77777777" w:rsidR="00083156" w:rsidRDefault="00000000">
            <w:pPr>
              <w:pBdr>
                <w:top w:val="nil"/>
                <w:left w:val="nil"/>
                <w:bottom w:val="nil"/>
                <w:right w:val="nil"/>
                <w:between w:val="nil"/>
              </w:pBdr>
              <w:jc w:val="center"/>
              <w:rPr>
                <w:color w:val="98361E"/>
              </w:rPr>
            </w:pPr>
            <w:proofErr w:type="spellStart"/>
            <w:r>
              <w:rPr>
                <w:color w:val="98361E"/>
              </w:rPr>
              <w:t>Supervision</w:t>
            </w:r>
            <w:proofErr w:type="spellEnd"/>
          </w:p>
        </w:tc>
        <w:tc>
          <w:tcPr>
            <w:tcW w:w="1395" w:type="dxa"/>
            <w:tcMar>
              <w:top w:w="100" w:type="dxa"/>
              <w:left w:w="100" w:type="dxa"/>
              <w:bottom w:w="100" w:type="dxa"/>
              <w:right w:w="100" w:type="dxa"/>
            </w:tcMar>
          </w:tcPr>
          <w:p w14:paraId="7A2C320E"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0C89332F" w14:textId="77777777" w:rsidR="00083156" w:rsidRDefault="00000000">
            <w:pPr>
              <w:pBdr>
                <w:top w:val="nil"/>
                <w:left w:val="nil"/>
                <w:bottom w:val="nil"/>
                <w:right w:val="nil"/>
                <w:between w:val="nil"/>
              </w:pBdr>
              <w:jc w:val="center"/>
              <w:rPr>
                <w:color w:val="98361E"/>
              </w:rPr>
            </w:pPr>
            <w:r>
              <w:rPr>
                <w:color w:val="98361E"/>
              </w:rPr>
              <w:t>X</w:t>
            </w:r>
          </w:p>
        </w:tc>
      </w:tr>
      <w:tr w:rsidR="00083156" w14:paraId="7E4367A0" w14:textId="77777777">
        <w:tc>
          <w:tcPr>
            <w:tcW w:w="2790" w:type="dxa"/>
            <w:tcMar>
              <w:top w:w="100" w:type="dxa"/>
              <w:left w:w="100" w:type="dxa"/>
              <w:bottom w:w="100" w:type="dxa"/>
              <w:right w:w="100" w:type="dxa"/>
            </w:tcMar>
          </w:tcPr>
          <w:p w14:paraId="0D5B157C" w14:textId="77777777" w:rsidR="00083156" w:rsidRDefault="00000000">
            <w:pPr>
              <w:pBdr>
                <w:top w:val="nil"/>
                <w:left w:val="nil"/>
                <w:bottom w:val="nil"/>
                <w:right w:val="nil"/>
                <w:between w:val="nil"/>
              </w:pBdr>
              <w:jc w:val="center"/>
              <w:rPr>
                <w:color w:val="98361E"/>
              </w:rPr>
            </w:pPr>
            <w:proofErr w:type="spellStart"/>
            <w:r>
              <w:rPr>
                <w:color w:val="98361E"/>
              </w:rPr>
              <w:t>Validation</w:t>
            </w:r>
            <w:proofErr w:type="spellEnd"/>
          </w:p>
        </w:tc>
        <w:tc>
          <w:tcPr>
            <w:tcW w:w="1395" w:type="dxa"/>
            <w:tcMar>
              <w:top w:w="100" w:type="dxa"/>
              <w:left w:w="100" w:type="dxa"/>
              <w:bottom w:w="100" w:type="dxa"/>
              <w:right w:w="100" w:type="dxa"/>
            </w:tcMar>
          </w:tcPr>
          <w:p w14:paraId="7A540073"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03A223C8" w14:textId="77777777" w:rsidR="00083156" w:rsidRDefault="00000000">
            <w:pPr>
              <w:pBdr>
                <w:top w:val="nil"/>
                <w:left w:val="nil"/>
                <w:bottom w:val="nil"/>
                <w:right w:val="nil"/>
                <w:between w:val="nil"/>
              </w:pBdr>
              <w:jc w:val="center"/>
              <w:rPr>
                <w:color w:val="98361E"/>
              </w:rPr>
            </w:pPr>
            <w:r>
              <w:rPr>
                <w:color w:val="98361E"/>
              </w:rPr>
              <w:t>X</w:t>
            </w:r>
          </w:p>
        </w:tc>
      </w:tr>
      <w:tr w:rsidR="00083156" w14:paraId="61BD193F" w14:textId="77777777">
        <w:tc>
          <w:tcPr>
            <w:tcW w:w="2790" w:type="dxa"/>
            <w:tcMar>
              <w:top w:w="100" w:type="dxa"/>
              <w:left w:w="100" w:type="dxa"/>
              <w:bottom w:w="100" w:type="dxa"/>
              <w:right w:w="100" w:type="dxa"/>
            </w:tcMar>
          </w:tcPr>
          <w:p w14:paraId="7AEB5943" w14:textId="77777777" w:rsidR="00083156" w:rsidRDefault="00000000">
            <w:pPr>
              <w:pBdr>
                <w:top w:val="nil"/>
                <w:left w:val="nil"/>
                <w:bottom w:val="nil"/>
                <w:right w:val="nil"/>
                <w:between w:val="nil"/>
              </w:pBdr>
              <w:jc w:val="center"/>
              <w:rPr>
                <w:color w:val="98361E"/>
              </w:rPr>
            </w:pPr>
            <w:proofErr w:type="spellStart"/>
            <w:r>
              <w:rPr>
                <w:color w:val="98361E"/>
              </w:rPr>
              <w:t>Visualisation</w:t>
            </w:r>
            <w:proofErr w:type="spellEnd"/>
          </w:p>
        </w:tc>
        <w:tc>
          <w:tcPr>
            <w:tcW w:w="1395" w:type="dxa"/>
            <w:tcMar>
              <w:top w:w="100" w:type="dxa"/>
              <w:left w:w="100" w:type="dxa"/>
              <w:bottom w:w="100" w:type="dxa"/>
              <w:right w:w="100" w:type="dxa"/>
            </w:tcMar>
          </w:tcPr>
          <w:p w14:paraId="31CC4E29"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05DF4740" w14:textId="77777777" w:rsidR="00083156" w:rsidRDefault="00000000">
            <w:pPr>
              <w:pBdr>
                <w:top w:val="nil"/>
                <w:left w:val="nil"/>
                <w:bottom w:val="nil"/>
                <w:right w:val="nil"/>
                <w:between w:val="nil"/>
              </w:pBdr>
              <w:jc w:val="center"/>
              <w:rPr>
                <w:color w:val="98361E"/>
              </w:rPr>
            </w:pPr>
            <w:r>
              <w:rPr>
                <w:color w:val="98361E"/>
              </w:rPr>
              <w:t>X</w:t>
            </w:r>
          </w:p>
        </w:tc>
      </w:tr>
      <w:tr w:rsidR="00083156" w14:paraId="3B386BE5" w14:textId="77777777">
        <w:tc>
          <w:tcPr>
            <w:tcW w:w="2790" w:type="dxa"/>
            <w:tcMar>
              <w:top w:w="100" w:type="dxa"/>
              <w:left w:w="100" w:type="dxa"/>
              <w:bottom w:w="100" w:type="dxa"/>
              <w:right w:w="100" w:type="dxa"/>
            </w:tcMar>
          </w:tcPr>
          <w:p w14:paraId="2E7E6C2A" w14:textId="77777777" w:rsidR="00083156" w:rsidRDefault="00000000">
            <w:pPr>
              <w:pBdr>
                <w:top w:val="nil"/>
                <w:left w:val="nil"/>
                <w:bottom w:val="nil"/>
                <w:right w:val="nil"/>
                <w:between w:val="nil"/>
              </w:pBdr>
              <w:jc w:val="center"/>
              <w:rPr>
                <w:color w:val="98361E"/>
              </w:rPr>
            </w:pPr>
            <w:proofErr w:type="spellStart"/>
            <w:r>
              <w:rPr>
                <w:color w:val="98361E"/>
              </w:rPr>
              <w:t>Writing</w:t>
            </w:r>
            <w:proofErr w:type="spellEnd"/>
          </w:p>
        </w:tc>
        <w:tc>
          <w:tcPr>
            <w:tcW w:w="1395" w:type="dxa"/>
            <w:tcMar>
              <w:top w:w="100" w:type="dxa"/>
              <w:left w:w="100" w:type="dxa"/>
              <w:bottom w:w="100" w:type="dxa"/>
              <w:right w:w="100" w:type="dxa"/>
            </w:tcMar>
          </w:tcPr>
          <w:p w14:paraId="43085EC6"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3328B1C4" w14:textId="77777777" w:rsidR="00083156" w:rsidRDefault="00000000">
            <w:pPr>
              <w:pBdr>
                <w:top w:val="nil"/>
                <w:left w:val="nil"/>
                <w:bottom w:val="nil"/>
                <w:right w:val="nil"/>
                <w:between w:val="nil"/>
              </w:pBdr>
              <w:jc w:val="center"/>
              <w:rPr>
                <w:color w:val="98361E"/>
              </w:rPr>
            </w:pPr>
            <w:r>
              <w:rPr>
                <w:color w:val="98361E"/>
              </w:rPr>
              <w:t>X</w:t>
            </w:r>
          </w:p>
        </w:tc>
      </w:tr>
      <w:tr w:rsidR="00083156" w14:paraId="7D028EF8" w14:textId="77777777">
        <w:tc>
          <w:tcPr>
            <w:tcW w:w="2790" w:type="dxa"/>
            <w:tcMar>
              <w:top w:w="100" w:type="dxa"/>
              <w:left w:w="100" w:type="dxa"/>
              <w:bottom w:w="100" w:type="dxa"/>
              <w:right w:w="100" w:type="dxa"/>
            </w:tcMar>
          </w:tcPr>
          <w:p w14:paraId="7E8FF2CD" w14:textId="77777777" w:rsidR="00083156" w:rsidRDefault="00000000">
            <w:pPr>
              <w:pBdr>
                <w:top w:val="nil"/>
                <w:left w:val="nil"/>
                <w:bottom w:val="nil"/>
                <w:right w:val="nil"/>
                <w:between w:val="nil"/>
              </w:pBdr>
              <w:jc w:val="center"/>
              <w:rPr>
                <w:color w:val="98361E"/>
              </w:rPr>
            </w:pPr>
            <w:r>
              <w:rPr>
                <w:color w:val="98361E"/>
              </w:rPr>
              <w:t xml:space="preserve">Funding </w:t>
            </w:r>
            <w:proofErr w:type="spellStart"/>
            <w:r>
              <w:rPr>
                <w:color w:val="98361E"/>
              </w:rPr>
              <w:t>acquisition</w:t>
            </w:r>
            <w:proofErr w:type="spellEnd"/>
          </w:p>
        </w:tc>
        <w:tc>
          <w:tcPr>
            <w:tcW w:w="1395" w:type="dxa"/>
            <w:tcMar>
              <w:top w:w="100" w:type="dxa"/>
              <w:left w:w="100" w:type="dxa"/>
              <w:bottom w:w="100" w:type="dxa"/>
              <w:right w:w="100" w:type="dxa"/>
            </w:tcMar>
          </w:tcPr>
          <w:p w14:paraId="73628EAB" w14:textId="77777777" w:rsidR="00083156" w:rsidRDefault="00000000">
            <w:pPr>
              <w:pBdr>
                <w:top w:val="nil"/>
                <w:left w:val="nil"/>
                <w:bottom w:val="nil"/>
                <w:right w:val="nil"/>
                <w:between w:val="nil"/>
              </w:pBdr>
              <w:jc w:val="center"/>
              <w:rPr>
                <w:color w:val="98361E"/>
              </w:rPr>
            </w:pPr>
            <w:r>
              <w:rPr>
                <w:color w:val="98361E"/>
              </w:rPr>
              <w:t>X</w:t>
            </w:r>
          </w:p>
        </w:tc>
        <w:tc>
          <w:tcPr>
            <w:tcW w:w="1425" w:type="dxa"/>
            <w:tcMar>
              <w:top w:w="100" w:type="dxa"/>
              <w:left w:w="100" w:type="dxa"/>
              <w:bottom w:w="100" w:type="dxa"/>
              <w:right w:w="100" w:type="dxa"/>
            </w:tcMar>
          </w:tcPr>
          <w:p w14:paraId="27081B0D" w14:textId="77777777" w:rsidR="00083156" w:rsidRDefault="00083156">
            <w:pPr>
              <w:pBdr>
                <w:top w:val="nil"/>
                <w:left w:val="nil"/>
                <w:bottom w:val="nil"/>
                <w:right w:val="nil"/>
                <w:between w:val="nil"/>
              </w:pBdr>
              <w:jc w:val="center"/>
              <w:rPr>
                <w:color w:val="98361E"/>
              </w:rPr>
            </w:pPr>
          </w:p>
        </w:tc>
      </w:tr>
    </w:tbl>
    <w:p w14:paraId="6633CAB6" w14:textId="77777777" w:rsidR="00083156" w:rsidRDefault="00083156">
      <w:pPr>
        <w:ind w:left="786"/>
      </w:pPr>
    </w:p>
    <w:p w14:paraId="6BF48374" w14:textId="77777777" w:rsidR="00083156" w:rsidRDefault="00083156">
      <w:pPr>
        <w:widowControl/>
        <w:pBdr>
          <w:top w:val="nil"/>
          <w:left w:val="nil"/>
          <w:bottom w:val="nil"/>
          <w:right w:val="nil"/>
          <w:between w:val="nil"/>
        </w:pBdr>
        <w:spacing w:after="80"/>
        <w:rPr>
          <w:sz w:val="29"/>
          <w:szCs w:val="29"/>
        </w:rPr>
      </w:pPr>
    </w:p>
    <w:p w14:paraId="1E63E317" w14:textId="77777777" w:rsidR="00083156" w:rsidRDefault="00000000">
      <w:pPr>
        <w:pStyle w:val="Ttulo4"/>
        <w:keepNext w:val="0"/>
        <w:keepLines w:val="0"/>
        <w:widowControl/>
        <w:numPr>
          <w:ilvl w:val="0"/>
          <w:numId w:val="2"/>
        </w:numPr>
        <w:ind w:right="370"/>
      </w:pPr>
      <w:bookmarkStart w:id="2" w:name="_heading=h.98xabjgp8dm9" w:colFirst="0" w:colLast="0"/>
      <w:bookmarkEnd w:id="2"/>
      <w:r>
        <w:rPr>
          <w:color w:val="98361E"/>
          <w:sz w:val="22"/>
          <w:szCs w:val="22"/>
        </w:rPr>
        <w:t xml:space="preserve">Data </w:t>
      </w:r>
      <w:proofErr w:type="spellStart"/>
      <w:r>
        <w:rPr>
          <w:color w:val="98361E"/>
          <w:sz w:val="22"/>
          <w:szCs w:val="22"/>
        </w:rPr>
        <w:t>availability</w:t>
      </w:r>
      <w:proofErr w:type="spellEnd"/>
    </w:p>
    <w:p w14:paraId="790BBD32" w14:textId="77777777" w:rsidR="00083156" w:rsidRDefault="00000000">
      <w:pPr>
        <w:widowControl/>
        <w:spacing w:before="240" w:after="240"/>
        <w:ind w:left="426" w:right="370"/>
        <w:jc w:val="both"/>
        <w:rPr>
          <w:sz w:val="20"/>
          <w:szCs w:val="20"/>
        </w:rPr>
      </w:pPr>
      <w:r w:rsidRPr="00BD62E7">
        <w:rPr>
          <w:sz w:val="20"/>
          <w:szCs w:val="20"/>
          <w:lang w:val="en-GB"/>
        </w:rPr>
        <w:t>Dataset for the analysis of true crime produced in Spain on video</w:t>
      </w:r>
      <w:r w:rsidRPr="00BD62E7">
        <w:rPr>
          <w:rFonts w:ascii="Cambria Math" w:eastAsia="Cambria Math" w:hAnsi="Cambria Math" w:cs="Cambria Math"/>
          <w:sz w:val="20"/>
          <w:szCs w:val="20"/>
          <w:lang w:val="en-GB"/>
        </w:rPr>
        <w:t>‑</w:t>
      </w:r>
      <w:r w:rsidRPr="00BD62E7">
        <w:rPr>
          <w:sz w:val="20"/>
          <w:szCs w:val="20"/>
          <w:lang w:val="en-GB"/>
        </w:rPr>
        <w:t>on</w:t>
      </w:r>
      <w:r w:rsidRPr="00BD62E7">
        <w:rPr>
          <w:rFonts w:ascii="Cambria Math" w:eastAsia="Cambria Math" w:hAnsi="Cambria Math" w:cs="Cambria Math"/>
          <w:sz w:val="20"/>
          <w:szCs w:val="20"/>
          <w:lang w:val="en-GB"/>
        </w:rPr>
        <w:t>‑</w:t>
      </w:r>
      <w:r w:rsidRPr="00BD62E7">
        <w:rPr>
          <w:sz w:val="20"/>
          <w:szCs w:val="20"/>
          <w:lang w:val="en-GB"/>
        </w:rPr>
        <w:t xml:space="preserve">demand platforms (2016–2025) [Dataset]. </w:t>
      </w:r>
      <w:hyperlink r:id="rId32">
        <w:r>
          <w:rPr>
            <w:color w:val="0000FF"/>
            <w:sz w:val="20"/>
            <w:szCs w:val="20"/>
            <w:u w:val="single"/>
          </w:rPr>
          <w:t>https://doi.org/10.5281/zenodo.18046750</w:t>
        </w:r>
      </w:hyperlink>
    </w:p>
    <w:p w14:paraId="5266312E" w14:textId="77777777" w:rsidR="00083156" w:rsidRDefault="00083156">
      <w:pPr>
        <w:ind w:right="370"/>
      </w:pPr>
    </w:p>
    <w:p w14:paraId="3579A208" w14:textId="77777777" w:rsidR="00083156" w:rsidRDefault="00000000">
      <w:pPr>
        <w:pStyle w:val="Ttulo1"/>
        <w:widowControl/>
        <w:numPr>
          <w:ilvl w:val="0"/>
          <w:numId w:val="2"/>
        </w:numPr>
        <w:spacing w:after="80"/>
        <w:ind w:right="370"/>
        <w:rPr>
          <w:rFonts w:ascii="Garamond" w:eastAsia="Garamond" w:hAnsi="Garamond" w:cs="Garamond"/>
          <w:b/>
          <w:bCs/>
        </w:rPr>
      </w:pPr>
      <w:bookmarkStart w:id="3" w:name="_heading=h.67eopd54mfin" w:colFirst="0" w:colLast="0"/>
      <w:bookmarkEnd w:id="3"/>
      <w:r>
        <w:rPr>
          <w:rFonts w:ascii="Garamond" w:eastAsia="Garamond" w:hAnsi="Garamond" w:cs="Garamond"/>
          <w:b/>
          <w:bCs/>
          <w:color w:val="98361E"/>
        </w:rPr>
        <w:t>Funding</w:t>
      </w:r>
    </w:p>
    <w:p w14:paraId="1649CB19" w14:textId="77777777" w:rsidR="00083156" w:rsidRPr="00BD62E7" w:rsidRDefault="00000000">
      <w:pPr>
        <w:widowControl/>
        <w:spacing w:before="240" w:after="240"/>
        <w:ind w:left="426" w:right="370"/>
        <w:jc w:val="both"/>
        <w:rPr>
          <w:sz w:val="20"/>
          <w:szCs w:val="20"/>
          <w:lang w:val="en-GB"/>
        </w:rPr>
      </w:pPr>
      <w:r w:rsidRPr="00BD62E7">
        <w:rPr>
          <w:sz w:val="20"/>
          <w:szCs w:val="20"/>
          <w:lang w:val="en-GB"/>
        </w:rPr>
        <w:t>This research was carried out within the framework of a predoctoral research staff contract awarded to the first author (CIACIF/2022/416), funded by the European Social Fund Plus (FSE+) Programme of the Valencian Community 2021–2027.</w:t>
      </w:r>
    </w:p>
    <w:p w14:paraId="28014EC8" w14:textId="77777777" w:rsidR="00083156" w:rsidRDefault="00000000">
      <w:pPr>
        <w:pStyle w:val="Ttulo1"/>
        <w:widowControl/>
        <w:numPr>
          <w:ilvl w:val="0"/>
          <w:numId w:val="2"/>
        </w:numPr>
        <w:spacing w:after="80"/>
        <w:rPr>
          <w:rFonts w:ascii="Garamond" w:eastAsia="Garamond" w:hAnsi="Garamond" w:cs="Garamond"/>
        </w:rPr>
      </w:pPr>
      <w:bookmarkStart w:id="4" w:name="_heading=h.nlhjvkyms7dn" w:colFirst="0" w:colLast="0"/>
      <w:bookmarkEnd w:id="4"/>
      <w:proofErr w:type="spellStart"/>
      <w:r>
        <w:rPr>
          <w:rFonts w:ascii="Garamond" w:eastAsia="Garamond" w:hAnsi="Garamond" w:cs="Garamond"/>
          <w:b/>
          <w:bCs/>
          <w:color w:val="98361E"/>
        </w:rPr>
        <w:t>Conflict</w:t>
      </w:r>
      <w:proofErr w:type="spellEnd"/>
      <w:r>
        <w:rPr>
          <w:rFonts w:ascii="Garamond" w:eastAsia="Garamond" w:hAnsi="Garamond" w:cs="Garamond"/>
          <w:b/>
          <w:bCs/>
          <w:color w:val="98361E"/>
        </w:rPr>
        <w:t xml:space="preserve"> </w:t>
      </w:r>
      <w:proofErr w:type="spellStart"/>
      <w:r>
        <w:rPr>
          <w:rFonts w:ascii="Garamond" w:eastAsia="Garamond" w:hAnsi="Garamond" w:cs="Garamond"/>
          <w:b/>
          <w:bCs/>
          <w:color w:val="98361E"/>
        </w:rPr>
        <w:t>of</w:t>
      </w:r>
      <w:proofErr w:type="spellEnd"/>
      <w:r>
        <w:rPr>
          <w:rFonts w:ascii="Garamond" w:eastAsia="Garamond" w:hAnsi="Garamond" w:cs="Garamond"/>
          <w:b/>
          <w:bCs/>
          <w:color w:val="98361E"/>
        </w:rPr>
        <w:t xml:space="preserve"> </w:t>
      </w:r>
      <w:proofErr w:type="spellStart"/>
      <w:r>
        <w:rPr>
          <w:rFonts w:ascii="Garamond" w:eastAsia="Garamond" w:hAnsi="Garamond" w:cs="Garamond"/>
          <w:b/>
          <w:bCs/>
          <w:color w:val="98361E"/>
        </w:rPr>
        <w:t>interest</w:t>
      </w:r>
      <w:proofErr w:type="spellEnd"/>
      <w:r>
        <w:rPr>
          <w:rFonts w:ascii="Garamond" w:eastAsia="Garamond" w:hAnsi="Garamond" w:cs="Garamond"/>
          <w:b/>
          <w:bCs/>
          <w:color w:val="98361E"/>
        </w:rPr>
        <w:t xml:space="preserve"> </w:t>
      </w:r>
      <w:proofErr w:type="spellStart"/>
      <w:r>
        <w:rPr>
          <w:rFonts w:ascii="Garamond" w:eastAsia="Garamond" w:hAnsi="Garamond" w:cs="Garamond"/>
          <w:b/>
          <w:bCs/>
          <w:color w:val="98361E"/>
        </w:rPr>
        <w:t>statement</w:t>
      </w:r>
      <w:proofErr w:type="spellEnd"/>
    </w:p>
    <w:p w14:paraId="55381A2F" w14:textId="77777777" w:rsidR="00083156" w:rsidRPr="00BD62E7" w:rsidRDefault="00000000">
      <w:pPr>
        <w:ind w:left="426" w:right="370"/>
        <w:rPr>
          <w:sz w:val="20"/>
          <w:szCs w:val="20"/>
          <w:lang w:val="en-GB"/>
        </w:rPr>
      </w:pPr>
      <w:r w:rsidRPr="00BD62E7">
        <w:rPr>
          <w:sz w:val="20"/>
          <w:szCs w:val="20"/>
          <w:lang w:val="en-GB"/>
        </w:rPr>
        <w:t>The authors declare that they have no conflicts of interest related to this study.</w:t>
      </w:r>
    </w:p>
    <w:p w14:paraId="64515A82" w14:textId="77777777" w:rsidR="00083156" w:rsidRDefault="00000000">
      <w:pPr>
        <w:widowControl/>
        <w:pBdr>
          <w:top w:val="nil"/>
          <w:left w:val="nil"/>
          <w:bottom w:val="nil"/>
          <w:right w:val="nil"/>
          <w:between w:val="nil"/>
        </w:pBdr>
        <w:spacing w:after="80"/>
        <w:ind w:left="2883"/>
        <w:rPr>
          <w:color w:val="000000"/>
          <w:sz w:val="20"/>
          <w:szCs w:val="20"/>
        </w:rPr>
      </w:pPr>
      <w:r>
        <w:rPr>
          <w:noProof/>
          <w:color w:val="000000"/>
          <w:sz w:val="20"/>
          <w:szCs w:val="20"/>
        </w:rPr>
        <w:drawing>
          <wp:inline distT="0" distB="0" distL="0" distR="0" wp14:anchorId="5ADD37BD" wp14:editId="73B03A61">
            <wp:extent cx="1137272" cy="400050"/>
            <wp:effectExtent l="0" t="0" r="0" b="0"/>
            <wp:docPr id="136699890" name="image6.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6.jpg" descr="Description: Macintosh HD:Users:Daniel:Desktop:licenciacc1.png"/>
                    <pic:cNvPicPr preferRelativeResize="0"/>
                  </pic:nvPicPr>
                  <pic:blipFill>
                    <a:blip r:embed="rId33"/>
                    <a:srcRect/>
                    <a:stretch>
                      <a:fillRect/>
                    </a:stretch>
                  </pic:blipFill>
                  <pic:spPr>
                    <a:xfrm>
                      <a:off x="0" y="0"/>
                      <a:ext cx="1137272" cy="400050"/>
                    </a:xfrm>
                    <a:prstGeom prst="rect">
                      <a:avLst/>
                    </a:prstGeom>
                    <a:ln/>
                  </pic:spPr>
                </pic:pic>
              </a:graphicData>
            </a:graphic>
          </wp:inline>
        </w:drawing>
      </w:r>
    </w:p>
    <w:p w14:paraId="200A1A79" w14:textId="77777777" w:rsidR="00083156" w:rsidRPr="00BD62E7" w:rsidRDefault="00000000">
      <w:pPr>
        <w:widowControl/>
        <w:pBdr>
          <w:top w:val="nil"/>
          <w:left w:val="nil"/>
          <w:bottom w:val="nil"/>
          <w:right w:val="nil"/>
          <w:between w:val="nil"/>
        </w:pBdr>
        <w:spacing w:after="80"/>
        <w:ind w:left="647" w:right="684"/>
        <w:jc w:val="center"/>
        <w:rPr>
          <w:color w:val="000000"/>
          <w:sz w:val="18"/>
          <w:szCs w:val="18"/>
          <w:lang w:val="en-GB"/>
        </w:rPr>
      </w:pPr>
      <w:r w:rsidRPr="00BD62E7">
        <w:rPr>
          <w:color w:val="231F20"/>
          <w:sz w:val="18"/>
          <w:szCs w:val="18"/>
          <w:lang w:val="en-GB"/>
        </w:rPr>
        <w:t>Creative Commons Licence</w:t>
      </w:r>
    </w:p>
    <w:p w14:paraId="3EA6675A" w14:textId="77777777" w:rsidR="00083156" w:rsidRPr="00BD62E7" w:rsidRDefault="00000000">
      <w:pPr>
        <w:widowControl/>
        <w:pBdr>
          <w:top w:val="nil"/>
          <w:left w:val="nil"/>
          <w:bottom w:val="nil"/>
          <w:right w:val="nil"/>
          <w:between w:val="nil"/>
        </w:pBdr>
        <w:spacing w:after="80" w:line="285" w:lineRule="auto"/>
        <w:ind w:left="2270" w:right="2309"/>
        <w:jc w:val="center"/>
        <w:rPr>
          <w:color w:val="000000"/>
          <w:sz w:val="18"/>
          <w:szCs w:val="18"/>
          <w:lang w:val="en-GB"/>
        </w:rPr>
      </w:pPr>
      <w:r w:rsidRPr="00BD62E7">
        <w:rPr>
          <w:color w:val="231F20"/>
          <w:sz w:val="18"/>
          <w:szCs w:val="18"/>
          <w:lang w:val="en-GB"/>
        </w:rPr>
        <w:t>Miguel Hernández Communication Journal mhjournal.org</w:t>
      </w:r>
    </w:p>
    <w:p w14:paraId="10D7C7E8" w14:textId="77777777" w:rsidR="00083156" w:rsidRPr="00BD62E7" w:rsidRDefault="00083156">
      <w:pPr>
        <w:widowControl/>
        <w:pBdr>
          <w:top w:val="nil"/>
          <w:left w:val="nil"/>
          <w:bottom w:val="nil"/>
          <w:right w:val="nil"/>
          <w:between w:val="nil"/>
        </w:pBdr>
        <w:spacing w:after="80"/>
        <w:rPr>
          <w:color w:val="000000"/>
          <w:sz w:val="20"/>
          <w:szCs w:val="20"/>
          <w:lang w:val="en-GB"/>
        </w:rPr>
      </w:pPr>
    </w:p>
    <w:p w14:paraId="411CCB73" w14:textId="77777777" w:rsidR="00083156" w:rsidRPr="00BD62E7" w:rsidRDefault="00083156">
      <w:pPr>
        <w:widowControl/>
        <w:pBdr>
          <w:top w:val="nil"/>
          <w:left w:val="nil"/>
          <w:bottom w:val="nil"/>
          <w:right w:val="nil"/>
          <w:between w:val="nil"/>
        </w:pBdr>
        <w:spacing w:after="80"/>
        <w:rPr>
          <w:color w:val="000000"/>
          <w:sz w:val="20"/>
          <w:szCs w:val="20"/>
          <w:lang w:val="en-GB"/>
        </w:rPr>
      </w:pPr>
    </w:p>
    <w:p w14:paraId="08B5CF26" w14:textId="77777777" w:rsidR="00083156" w:rsidRPr="00BD62E7" w:rsidRDefault="00083156">
      <w:pPr>
        <w:widowControl/>
        <w:pBdr>
          <w:top w:val="nil"/>
          <w:left w:val="nil"/>
          <w:bottom w:val="nil"/>
          <w:right w:val="nil"/>
          <w:between w:val="nil"/>
        </w:pBdr>
        <w:spacing w:after="80" w:line="285" w:lineRule="auto"/>
        <w:ind w:left="638" w:right="675"/>
        <w:jc w:val="both"/>
        <w:rPr>
          <w:color w:val="000000"/>
          <w:sz w:val="18"/>
          <w:szCs w:val="18"/>
          <w:lang w:val="en-GB"/>
        </w:rPr>
      </w:pPr>
    </w:p>
    <w:sectPr w:rsidR="00083156" w:rsidRPr="00BD62E7">
      <w:headerReference w:type="default" r:id="rId34"/>
      <w:footerReference w:type="default" r:id="rId35"/>
      <w:pgSz w:w="9640" w:h="13610"/>
      <w:pgMar w:top="1480" w:right="1000" w:bottom="1120" w:left="1040" w:header="1148"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74771" w14:textId="77777777" w:rsidR="008F7ABC" w:rsidRDefault="008F7ABC">
      <w:r>
        <w:separator/>
      </w:r>
    </w:p>
  </w:endnote>
  <w:endnote w:type="continuationSeparator" w:id="0">
    <w:p w14:paraId="10E4B34A" w14:textId="77777777" w:rsidR="008F7ABC" w:rsidRDefault="008F7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B Garamond">
    <w:charset w:val="00"/>
    <w:family w:val="auto"/>
    <w:pitch w:val="default"/>
    <w:embedRegular r:id="rId1" w:fontKey="{57496DDA-D19E-4764-A20B-BE98D38468BE}"/>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29D6A926-CF95-451A-8552-F9C911AEF57E}"/>
    <w:embedBold r:id="rId3" w:fontKey="{A48E83E9-3D81-4A34-A806-ABA68024FE66}"/>
    <w:embedItalic r:id="rId4" w:fontKey="{8953D3C2-6CAE-49F6-857C-40ACF72DD785}"/>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A5F7D457-3F28-450F-B368-B71779DE5611}"/>
  </w:font>
  <w:font w:name="Georgia">
    <w:panose1 w:val="02040502050405020303"/>
    <w:charset w:val="00"/>
    <w:family w:val="roman"/>
    <w:pitch w:val="variable"/>
    <w:sig w:usb0="00000287" w:usb1="00000000" w:usb2="00000000" w:usb3="00000000" w:csb0="0000009F" w:csb1="00000000"/>
    <w:embedItalic r:id="rId6" w:fontKey="{63F02FA9-AD9B-49A7-BCDF-091150FF9363}"/>
  </w:font>
  <w:font w:name="Arial Narrow">
    <w:panose1 w:val="020B0606020202030204"/>
    <w:charset w:val="00"/>
    <w:family w:val="swiss"/>
    <w:pitch w:val="variable"/>
    <w:sig w:usb0="00000287" w:usb1="00000800" w:usb2="00000000" w:usb3="00000000" w:csb0="0000009F" w:csb1="00000000"/>
    <w:embedRegular r:id="rId7" w:fontKey="{7545AB6E-8008-42BF-AC1B-B64302B9CB06}"/>
  </w:font>
  <w:font w:name="Cambria Math">
    <w:panose1 w:val="02040503050406030204"/>
    <w:charset w:val="00"/>
    <w:family w:val="roman"/>
    <w:pitch w:val="variable"/>
    <w:sig w:usb0="E00006FF" w:usb1="420024FF" w:usb2="02000000" w:usb3="00000000" w:csb0="0000019F" w:csb1="00000000"/>
    <w:embedRegular r:id="rId8" w:fontKey="{9874FC3F-27B1-46EF-A157-F7D75E265C8E}"/>
    <w:embedItalic r:id="rId9" w:fontKey="{D45EF99C-C4E2-4810-8611-F29611CA32D6}"/>
  </w:font>
  <w:font w:name="Cambria">
    <w:panose1 w:val="02040503050406030204"/>
    <w:charset w:val="00"/>
    <w:family w:val="roman"/>
    <w:pitch w:val="variable"/>
    <w:sig w:usb0="E00006FF" w:usb1="420024FF" w:usb2="02000000" w:usb3="00000000" w:csb0="0000019F" w:csb1="00000000"/>
    <w:embedRegular r:id="rId10" w:fontKey="{1217F156-37C7-409F-8016-E3919D524106}"/>
  </w:font>
  <w:font w:name="Calibri">
    <w:panose1 w:val="020F0502020204030204"/>
    <w:charset w:val="00"/>
    <w:family w:val="swiss"/>
    <w:pitch w:val="variable"/>
    <w:sig w:usb0="E4002EFF" w:usb1="C000247B" w:usb2="00000009" w:usb3="00000000" w:csb0="000001FF" w:csb1="00000000"/>
    <w:embedRegular r:id="rId11" w:fontKey="{6E73466D-BADA-42A9-90C2-28794E94F0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A5F0" w14:textId="77777777" w:rsidR="00083156" w:rsidRDefault="00083156">
    <w:pPr>
      <w:pBdr>
        <w:top w:val="nil"/>
        <w:left w:val="nil"/>
        <w:bottom w:val="nil"/>
        <w:right w:val="nil"/>
        <w:between w:val="nil"/>
      </w:pBdr>
      <w:tabs>
        <w:tab w:val="center" w:pos="4252"/>
        <w:tab w:val="right" w:pos="8504"/>
      </w:tabs>
      <w:jc w:val="center"/>
      <w:rPr>
        <w:color w:val="000000"/>
      </w:rPr>
    </w:pPr>
  </w:p>
  <w:p w14:paraId="33BFB1C5" w14:textId="77777777" w:rsidR="00083156" w:rsidRDefault="00083156">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5E2A8" w14:textId="77777777" w:rsidR="00083156"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72AAC011" wp14:editId="1B9740D7">
              <wp:simplePos x="0" y="0"/>
              <wp:positionH relativeFrom="column">
                <wp:posOffset>2159000</wp:posOffset>
              </wp:positionH>
              <wp:positionV relativeFrom="paragraph">
                <wp:posOffset>7912100</wp:posOffset>
              </wp:positionV>
              <wp:extent cx="0" cy="12700"/>
              <wp:effectExtent l="0" t="0" r="0" b="0"/>
              <wp:wrapNone/>
              <wp:docPr id="136699883" name="Conector recto de flecha 136699883"/>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2159000</wp:posOffset>
              </wp:positionH>
              <wp:positionV relativeFrom="paragraph">
                <wp:posOffset>7912100</wp:posOffset>
              </wp:positionV>
              <wp:extent cx="0" cy="12700"/>
              <wp:effectExtent b="0" l="0" r="0" t="0"/>
              <wp:wrapNone/>
              <wp:docPr id="13669988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149F4AE7" wp14:editId="3E094EBE">
              <wp:simplePos x="0" y="0"/>
              <wp:positionH relativeFrom="column">
                <wp:posOffset>2251076</wp:posOffset>
              </wp:positionH>
              <wp:positionV relativeFrom="paragraph">
                <wp:posOffset>7877176</wp:posOffset>
              </wp:positionV>
              <wp:extent cx="273685" cy="269240"/>
              <wp:effectExtent l="0" t="0" r="0" b="0"/>
              <wp:wrapNone/>
              <wp:docPr id="136699882" name="Rectángulo 136699882"/>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03F7F8D8" w14:textId="77777777" w:rsidR="00083156" w:rsidRDefault="00000000">
                          <w:pPr>
                            <w:spacing w:before="20"/>
                            <w:ind w:left="60" w:firstLine="24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w:pict>
            <v:rect w14:anchorId="149F4AE7" id="Rectángulo 136699882" o:spid="_x0000_s1027" style="position:absolute;margin-left:177.25pt;margin-top:620.25pt;width:21.55pt;height:21.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" filled="f" stroked="f">
              <v:textbox inset="0,0,0,0">
                <w:txbxContent>
                  <w:p w14:paraId="03F7F8D8" w14:textId="77777777" w:rsidR="00083156" w:rsidRDefault="00000000">
                    <w:pPr>
                      <w:spacing w:before="20"/>
                      <w:ind w:left="60" w:firstLine="240"/>
                      <w:textDirection w:val="btLr"/>
                    </w:pPr>
                    <w:r>
                      <w:rPr>
                        <w:rFonts w:ascii="EB Garamond" w:eastAsia="EB Garamond" w:hAnsi="EB Garamond" w:cs="EB Garamond"/>
                        <w:color w:val="D49988"/>
                        <w:sz w:val="24"/>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20179" w14:textId="77777777" w:rsidR="008F7ABC" w:rsidRDefault="008F7ABC">
      <w:r>
        <w:separator/>
      </w:r>
    </w:p>
  </w:footnote>
  <w:footnote w:type="continuationSeparator" w:id="0">
    <w:p w14:paraId="2EA4BD43" w14:textId="77777777" w:rsidR="008F7ABC" w:rsidRDefault="008F7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B7C2" w14:textId="4E4D48C5" w:rsidR="00083156" w:rsidRPr="00BD62E7" w:rsidRDefault="00000000">
    <w:pPr>
      <w:spacing w:before="20"/>
      <w:ind w:left="20" w:firstLine="40"/>
      <w:jc w:val="center"/>
      <w:rPr>
        <w:color w:val="822108"/>
        <w:lang w:val="en-GB"/>
      </w:rPr>
    </w:pPr>
    <w:r w:rsidRPr="00BD62E7">
      <w:rPr>
        <w:rFonts w:ascii="EB Garamond" w:eastAsia="EB Garamond" w:hAnsi="EB Garamond" w:cs="EB Garamond"/>
        <w:color w:val="822108"/>
        <w:sz w:val="20"/>
        <w:szCs w:val="20"/>
        <w:lang w:val="en-GB"/>
      </w:rPr>
      <w:t xml:space="preserve">MHJournal Vol. 17 (1) | </w:t>
    </w:r>
    <w:r w:rsidR="00BD62E7" w:rsidRPr="00BD62E7">
      <w:rPr>
        <w:rFonts w:ascii="EB Garamond" w:eastAsia="EB Garamond" w:hAnsi="EB Garamond" w:cs="EB Garamond"/>
        <w:color w:val="822108"/>
        <w:sz w:val="20"/>
        <w:szCs w:val="20"/>
        <w:lang w:val="en-GB"/>
      </w:rPr>
      <w:t>Year</w:t>
    </w:r>
    <w:r w:rsidRPr="00BD62E7">
      <w:rPr>
        <w:rFonts w:ascii="EB Garamond" w:eastAsia="EB Garamond" w:hAnsi="EB Garamond" w:cs="EB Garamond"/>
        <w:color w:val="822108"/>
        <w:sz w:val="20"/>
        <w:szCs w:val="20"/>
        <w:lang w:val="en-GB"/>
      </w:rPr>
      <w:t xml:space="preserve"> 2026 - </w:t>
    </w:r>
    <w:r w:rsidR="00BD62E7" w:rsidRPr="00BD62E7">
      <w:rPr>
        <w:rFonts w:ascii="EB Garamond" w:eastAsia="EB Garamond" w:hAnsi="EB Garamond" w:cs="EB Garamond"/>
        <w:color w:val="822108"/>
        <w:sz w:val="20"/>
        <w:szCs w:val="20"/>
        <w:lang w:val="en-GB"/>
      </w:rPr>
      <w:t>Article</w:t>
    </w:r>
    <w:r w:rsidRPr="00BD62E7">
      <w:rPr>
        <w:rFonts w:ascii="EB Garamond" w:eastAsia="EB Garamond" w:hAnsi="EB Garamond" w:cs="EB Garamond"/>
        <w:color w:val="822108"/>
        <w:sz w:val="20"/>
        <w:szCs w:val="20"/>
        <w:lang w:val="en-GB"/>
      </w:rPr>
      <w:t xml:space="preserve"> </w:t>
    </w:r>
    <w:r w:rsidR="00BD62E7" w:rsidRPr="00BD62E7">
      <w:rPr>
        <w:rFonts w:ascii="EB Garamond" w:eastAsia="EB Garamond" w:hAnsi="EB Garamond" w:cs="EB Garamond"/>
        <w:color w:val="822108"/>
        <w:sz w:val="20"/>
        <w:szCs w:val="20"/>
        <w:lang w:val="en-GB"/>
      </w:rPr>
      <w:t>No.</w:t>
    </w:r>
    <w:r w:rsidRPr="00BD62E7">
      <w:rPr>
        <w:rFonts w:ascii="EB Garamond" w:eastAsia="EB Garamond" w:hAnsi="EB Garamond" w:cs="EB Garamond"/>
        <w:color w:val="822108"/>
        <w:sz w:val="20"/>
        <w:szCs w:val="20"/>
        <w:lang w:val="en-GB"/>
      </w:rPr>
      <w:t xml:space="preserve"> 3 (281) - </w:t>
    </w:r>
    <w:r w:rsidR="00BD62E7" w:rsidRPr="00BD62E7">
      <w:rPr>
        <w:rFonts w:ascii="EB Garamond" w:eastAsia="EB Garamond" w:hAnsi="EB Garamond" w:cs="EB Garamond"/>
        <w:color w:val="822108"/>
        <w:sz w:val="20"/>
        <w:szCs w:val="20"/>
        <w:lang w:val="en-GB"/>
      </w:rPr>
      <w:t>Pages</w:t>
    </w:r>
    <w:r w:rsidRPr="00BD62E7">
      <w:rPr>
        <w:rFonts w:ascii="EB Garamond" w:eastAsia="EB Garamond" w:hAnsi="EB Garamond" w:cs="EB Garamond"/>
        <w:color w:val="822108"/>
        <w:sz w:val="20"/>
        <w:szCs w:val="20"/>
        <w:lang w:val="en-GB"/>
      </w:rPr>
      <w:t xml:space="preserve"> 59 </w:t>
    </w:r>
    <w:r w:rsidR="00BD62E7" w:rsidRPr="00BD62E7">
      <w:rPr>
        <w:rFonts w:ascii="EB Garamond" w:eastAsia="EB Garamond" w:hAnsi="EB Garamond" w:cs="EB Garamond"/>
        <w:color w:val="822108"/>
        <w:sz w:val="20"/>
        <w:szCs w:val="20"/>
        <w:lang w:val="en-GB"/>
      </w:rPr>
      <w:t>to</w:t>
    </w:r>
    <w:r w:rsidRPr="00BD62E7">
      <w:rPr>
        <w:rFonts w:ascii="EB Garamond" w:eastAsia="EB Garamond" w:hAnsi="EB Garamond" w:cs="EB Garamond"/>
        <w:color w:val="822108"/>
        <w:sz w:val="20"/>
        <w:szCs w:val="20"/>
        <w:lang w:val="en-GB"/>
      </w:rPr>
      <w:t xml:space="preserve"> 79 - mhjournal.org</w:t>
    </w:r>
  </w:p>
  <w:p w14:paraId="77DD64FD" w14:textId="77777777" w:rsidR="00083156" w:rsidRPr="00BD62E7" w:rsidRDefault="00083156">
    <w:pPr>
      <w:pBdr>
        <w:top w:val="nil"/>
        <w:left w:val="nil"/>
        <w:bottom w:val="nil"/>
        <w:right w:val="nil"/>
        <w:between w:val="nil"/>
      </w:pBdr>
      <w:spacing w:line="14" w:lineRule="auto"/>
      <w:rPr>
        <w:color w:val="000000"/>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4D18" w14:textId="77777777" w:rsidR="00083156" w:rsidRPr="00BD62E7" w:rsidRDefault="00000000">
    <w:pPr>
      <w:spacing w:before="20"/>
      <w:ind w:left="20" w:firstLine="40"/>
      <w:jc w:val="center"/>
      <w:rPr>
        <w:color w:val="822108"/>
        <w:lang w:val="en-GB"/>
      </w:rPr>
    </w:pPr>
    <w:proofErr w:type="spellStart"/>
    <w:r w:rsidRPr="00BD62E7">
      <w:rPr>
        <w:rFonts w:ascii="EB Garamond" w:eastAsia="EB Garamond" w:hAnsi="EB Garamond" w:cs="EB Garamond"/>
        <w:color w:val="822108"/>
        <w:sz w:val="20"/>
        <w:szCs w:val="20"/>
        <w:lang w:val="en-GB"/>
      </w:rPr>
      <w:t>MHJournal</w:t>
    </w:r>
    <w:proofErr w:type="spellEnd"/>
    <w:r w:rsidRPr="00BD62E7">
      <w:rPr>
        <w:rFonts w:ascii="EB Garamond" w:eastAsia="EB Garamond" w:hAnsi="EB Garamond" w:cs="EB Garamond"/>
        <w:color w:val="822108"/>
        <w:sz w:val="20"/>
        <w:szCs w:val="20"/>
        <w:lang w:val="en-GB"/>
      </w:rPr>
      <w:t xml:space="preserve"> Vol. 17 (1) | Year 2026 - Article n.3 (281) - Pages 59 to 79 - mhjournal.org</w:t>
    </w:r>
  </w:p>
  <w:p w14:paraId="1C9681BD" w14:textId="77777777" w:rsidR="00083156" w:rsidRPr="00BD62E7" w:rsidRDefault="00083156">
    <w:pPr>
      <w:pBdr>
        <w:top w:val="nil"/>
        <w:left w:val="nil"/>
        <w:bottom w:val="nil"/>
        <w:right w:val="nil"/>
        <w:between w:val="nil"/>
      </w:pBdr>
      <w:spacing w:line="14" w:lineRule="auto"/>
      <w:rPr>
        <w:color w:val="000000"/>
        <w:sz w:val="20"/>
        <w:szCs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FF6322"/>
    <w:multiLevelType w:val="multilevel"/>
    <w:tmpl w:val="16DEAC76"/>
    <w:lvl w:ilvl="0">
      <w:start w:val="1"/>
      <w:numFmt w:val="decimal"/>
      <w:lvlText w:val="%1."/>
      <w:lvlJc w:val="left"/>
      <w:pPr>
        <w:ind w:left="150" w:hanging="150"/>
      </w:pPr>
      <w:rPr>
        <w:rFonts w:ascii="EB Garamond" w:eastAsia="EB Garamond" w:hAnsi="EB Garamond" w:cs="EB Garamond"/>
        <w:b w:val="0"/>
        <w:bCs w:val="0"/>
        <w:i w:val="0"/>
        <w:iCs w:val="0"/>
        <w:color w:val="808080"/>
        <w:sz w:val="16"/>
        <w:szCs w:val="16"/>
      </w:rPr>
    </w:lvl>
    <w:lvl w:ilvl="1">
      <w:start w:val="1"/>
      <w:numFmt w:val="decimal"/>
      <w:lvlText w:val="%1.%2."/>
      <w:lvlJc w:val="left"/>
      <w:pPr>
        <w:ind w:left="0" w:hanging="263"/>
      </w:pPr>
      <w:rPr>
        <w:rFonts w:ascii="EB Garamond" w:eastAsia="EB Garamond" w:hAnsi="EB Garamond" w:cs="EB Garamond"/>
        <w:b w:val="0"/>
        <w:bCs w:val="0"/>
        <w:i w:val="0"/>
        <w:iCs w:val="0"/>
        <w:color w:val="808080"/>
        <w:sz w:val="16"/>
        <w:szCs w:val="16"/>
      </w:rPr>
    </w:lvl>
    <w:lvl w:ilvl="2">
      <w:numFmt w:val="bullet"/>
      <w:lvlText w:val="•"/>
      <w:lvlJc w:val="left"/>
      <w:pPr>
        <w:ind w:left="476" w:hanging="263"/>
      </w:pPr>
    </w:lvl>
    <w:lvl w:ilvl="3">
      <w:numFmt w:val="bullet"/>
      <w:lvlText w:val="•"/>
      <w:lvlJc w:val="left"/>
      <w:pPr>
        <w:ind w:left="793" w:hanging="262"/>
      </w:pPr>
    </w:lvl>
    <w:lvl w:ilvl="4">
      <w:numFmt w:val="bullet"/>
      <w:lvlText w:val="•"/>
      <w:lvlJc w:val="left"/>
      <w:pPr>
        <w:ind w:left="1109" w:hanging="263"/>
      </w:pPr>
    </w:lvl>
    <w:lvl w:ilvl="5">
      <w:numFmt w:val="bullet"/>
      <w:lvlText w:val="•"/>
      <w:lvlJc w:val="left"/>
      <w:pPr>
        <w:ind w:left="1426" w:hanging="263"/>
      </w:pPr>
    </w:lvl>
    <w:lvl w:ilvl="6">
      <w:numFmt w:val="bullet"/>
      <w:lvlText w:val="•"/>
      <w:lvlJc w:val="left"/>
      <w:pPr>
        <w:ind w:left="1742" w:hanging="263"/>
      </w:pPr>
    </w:lvl>
    <w:lvl w:ilvl="7">
      <w:numFmt w:val="bullet"/>
      <w:lvlText w:val="•"/>
      <w:lvlJc w:val="left"/>
      <w:pPr>
        <w:ind w:left="2059" w:hanging="263"/>
      </w:pPr>
    </w:lvl>
    <w:lvl w:ilvl="8">
      <w:numFmt w:val="bullet"/>
      <w:lvlText w:val="•"/>
      <w:lvlJc w:val="left"/>
      <w:pPr>
        <w:ind w:left="2375" w:hanging="263"/>
      </w:pPr>
    </w:lvl>
  </w:abstractNum>
  <w:abstractNum w:abstractNumId="1" w15:restartNumberingAfterBreak="0">
    <w:nsid w:val="6F1848D0"/>
    <w:multiLevelType w:val="multilevel"/>
    <w:tmpl w:val="32484AA6"/>
    <w:lvl w:ilvl="0">
      <w:start w:val="1"/>
      <w:numFmt w:val="decimal"/>
      <w:lvlText w:val="%1."/>
      <w:lvlJc w:val="left"/>
      <w:pPr>
        <w:ind w:left="786" w:hanging="360"/>
      </w:pPr>
      <w:rPr>
        <w:rFonts w:ascii="Times New Roman" w:eastAsia="Times New Roman" w:hAnsi="Times New Roman" w:cs="Times New Roman"/>
        <w:b/>
        <w:bCs/>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453787494">
    <w:abstractNumId w:val="0"/>
  </w:num>
  <w:num w:numId="2" w16cid:durableId="689452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156"/>
    <w:rsid w:val="00083156"/>
    <w:rsid w:val="00885AFD"/>
    <w:rsid w:val="008F7ABC"/>
    <w:rsid w:val="00A2478C"/>
    <w:rsid w:val="00BD62E7"/>
    <w:rsid w:val="00C463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1F328"/>
  <w15:docId w15:val="{FDF796E5-14CF-4C56-92FD-57053FC50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17"/>
      <w:ind w:left="638" w:right="736"/>
    </w:pPr>
    <w:rPr>
      <w:sz w:val="32"/>
      <w:szCs w:val="3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FC0F64"/>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3F0BAD"/>
    <w:rPr>
      <w:color w:val="605E5C"/>
      <w:shd w:val="clear" w:color="auto" w:fill="E1DFDD"/>
    </w:r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paragraph" w:customStyle="1" w:styleId="Contenidodelmarco">
    <w:name w:val="Contenido del marco"/>
    <w:basedOn w:val="Normal"/>
    <w:qFormat/>
    <w:rsid w:val="008B4BDE"/>
    <w:pPr>
      <w:widowControl/>
      <w:suppressAutoHyphens/>
    </w:pPr>
    <w:rPr>
      <w:rFonts w:ascii="Times New Roman" w:eastAsia="Times New Roman" w:hAnsi="Times New Roman" w:cs="Times New Roman"/>
      <w:sz w:val="24"/>
      <w:szCs w:val="24"/>
      <w:lang w:val="es-ES"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inyurl.com/359zcws3" TargetMode="External"/><Relationship Id="rId26" Type="http://schemas.openxmlformats.org/officeDocument/2006/relationships/hyperlink" Target="https://tinyurl.com/yfmjz5cc" TargetMode="External"/><Relationship Id="rId21" Type="http://schemas.openxmlformats.org/officeDocument/2006/relationships/hyperlink" Target="https://doi.org/10.32870/cys.v2025.8891"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oi.org/10.1386/rjao_00003_1" TargetMode="External"/><Relationship Id="rId25" Type="http://schemas.openxmlformats.org/officeDocument/2006/relationships/hyperlink" Target="https://tinyurl.com/27ksxbu6" TargetMode="External"/><Relationship Id="rId33"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tinyurl.com/bdfts2mt" TargetMode="External"/><Relationship Id="rId20" Type="http://schemas.openxmlformats.org/officeDocument/2006/relationships/hyperlink" Target="https://doi.org/10.24310/bc.30.2024.20681" TargetMode="External"/><Relationship Id="rId29" Type="http://schemas.openxmlformats.org/officeDocument/2006/relationships/hyperlink" Target="https://doi.org/10.1177/17416590124382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1111/j.1533-8525.2010.01191.x" TargetMode="External"/><Relationship Id="rId32" Type="http://schemas.openxmlformats.org/officeDocument/2006/relationships/hyperlink" Target="https://doi.org/10.5281/zenodo.1804675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doi.org/10.4185/RLCS-2022-1533" TargetMode="External"/><Relationship Id="rId28" Type="http://schemas.openxmlformats.org/officeDocument/2006/relationships/hyperlink" Target="https://tinyurl.com/42munr7z" TargetMode="External"/><Relationship Id="rId36" Type="http://schemas.openxmlformats.org/officeDocument/2006/relationships/fontTable" Target="fontTable.xml"/><Relationship Id="rId10" Type="http://schemas.openxmlformats.org/officeDocument/2006/relationships/hyperlink" Target="https://orcid.org/0009-0000-8579-5233" TargetMode="External"/><Relationship Id="rId19" Type="http://schemas.openxmlformats.org/officeDocument/2006/relationships/hyperlink" Target="https://doi.org/10.1080/17521483.2016.1233741" TargetMode="External"/><Relationship Id="rId31" Type="http://schemas.openxmlformats.org/officeDocument/2006/relationships/hyperlink" Target="https://tinyurl.com/5e5nyw8p" TargetMode="External"/><Relationship Id="rId4" Type="http://schemas.openxmlformats.org/officeDocument/2006/relationships/settings" Target="settings.xml"/><Relationship Id="rId9" Type="http://schemas.openxmlformats.org/officeDocument/2006/relationships/hyperlink" Target="https://orcid.org/0000-0001-7566-4125" TargetMode="External"/><Relationship Id="rId14" Type="http://schemas.openxmlformats.org/officeDocument/2006/relationships/image" Target="media/image3.png"/><Relationship Id="rId22" Type="http://schemas.openxmlformats.org/officeDocument/2006/relationships/hyperlink" Target="https://doi.org/10.15581/003.37.2.35-48" TargetMode="External"/><Relationship Id="rId27" Type="http://schemas.openxmlformats.org/officeDocument/2006/relationships/hyperlink" Target="http://scholarcommons.usf.edu/etd/6743" TargetMode="External"/><Relationship Id="rId30" Type="http://schemas.openxmlformats.org/officeDocument/2006/relationships/hyperlink" Target="https://doi.org/10.1177/1948550609355486" TargetMode="External"/><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0yCr2I6/byrQZgeBGEwmY0LE4A==">CgMxLjAyDmguNmN3N2o3Z3dxbTl1Mg5oLnJidXUxM2hrMjUxdDIOaC45OHhhYmpncDhkbTkyDmguNjdlb3BkNTRtZmluMg5oLm5saGp2a3ltczdkbjgAciExRHNjcTlsMTEyTUJacXVOTEx4YWZpVlN0NTFQUUxBVnk=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8039</Words>
  <Characters>44220</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dámaso mondéjar aráez</dc:creator>
  <cp:lastModifiedBy>Quiles Moran, Francisco De Borja</cp:lastModifiedBy>
  <cp:revision>3</cp:revision>
  <dcterms:created xsi:type="dcterms:W3CDTF">2026-03-09T10:30:00Z</dcterms:created>
  <dcterms:modified xsi:type="dcterms:W3CDTF">2026-03-30T17:17:00Z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Adobe InDesign 18.1 (Windows)</vt:lpwstr>
  </property>
  <property fmtid="{D5CDD505-2E9C-101B-9397-08002B2CF9AE}" pid="4" name="LastSaved">
    <vt:filetime>2023-01-31T00:00:00Z</vt:filetime>
  </property>
  <property fmtid="{D5CDD505-2E9C-101B-9397-08002B2CF9AE}" pid="5" name="Producer">
    <vt:lpwstr>Adobe PDF Library 17.0</vt:lpwstr>
  </property>
</Properties>
</file>