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99A88" w14:textId="77777777" w:rsidR="00792349" w:rsidRPr="00BF4357" w:rsidRDefault="00000000">
      <w:pPr>
        <w:widowControl/>
        <w:spacing w:before="120" w:line="324" w:lineRule="auto"/>
        <w:ind w:left="4708" w:right="1059"/>
        <w:rPr>
          <w:rFonts w:ascii="EB Garamond" w:eastAsia="EB Garamond" w:hAnsi="EB Garamond" w:cs="EB Garamond"/>
          <w:sz w:val="16"/>
          <w:szCs w:val="16"/>
          <w:lang w:val="en-GB"/>
        </w:rPr>
      </w:pPr>
      <w:r>
        <w:rPr>
          <w:rFonts w:ascii="EB Garamond" w:eastAsia="EB Garamond" w:hAnsi="EB Garamond" w:cs="EB Garamond"/>
          <w:noProof/>
          <w:color w:val="808080"/>
          <w:sz w:val="16"/>
          <w:szCs w:val="16"/>
        </w:rPr>
        <w:drawing>
          <wp:anchor distT="0" distB="0" distL="0" distR="0" simplePos="0" relativeHeight="51" behindDoc="0" locked="0" layoutInCell="1" allowOverlap="1" wp14:anchorId="6647C1F7" wp14:editId="69E9104C">
            <wp:simplePos x="0" y="0"/>
            <wp:positionH relativeFrom="column">
              <wp:posOffset>273050</wp:posOffset>
            </wp:positionH>
            <wp:positionV relativeFrom="paragraph">
              <wp:posOffset>209550</wp:posOffset>
            </wp:positionV>
            <wp:extent cx="1924685" cy="473075"/>
            <wp:effectExtent l="0" t="0" r="0" b="0"/>
            <wp:wrapNone/>
            <wp:docPr id="1" name="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jpg"/>
                    <pic:cNvPicPr>
                      <a:picLocks noChangeAspect="1" noChangeArrowheads="1"/>
                    </pic:cNvPicPr>
                  </pic:nvPicPr>
                  <pic:blipFill>
                    <a:blip r:embed="rId9"/>
                    <a:stretch>
                      <a:fillRect/>
                    </a:stretch>
                  </pic:blipFill>
                  <pic:spPr bwMode="auto">
                    <a:xfrm>
                      <a:off x="0" y="0"/>
                      <a:ext cx="1924685" cy="473075"/>
                    </a:xfrm>
                    <a:prstGeom prst="rect">
                      <a:avLst/>
                    </a:prstGeom>
                    <a:noFill/>
                  </pic:spPr>
                </pic:pic>
              </a:graphicData>
            </a:graphic>
          </wp:anchor>
        </w:drawing>
      </w:r>
      <w:r>
        <w:rPr>
          <w:rFonts w:ascii="EB Garamond" w:eastAsia="EB Garamond" w:hAnsi="EB Garamond" w:cs="EB Garamond"/>
          <w:noProof/>
          <w:color w:val="808080"/>
          <w:sz w:val="16"/>
          <w:szCs w:val="16"/>
        </w:rPr>
        <w:drawing>
          <wp:anchor distT="0" distB="0" distL="0" distR="0" simplePos="0" relativeHeight="52" behindDoc="0" locked="0" layoutInCell="1" allowOverlap="1" wp14:anchorId="2D231F35" wp14:editId="377107CD">
            <wp:simplePos x="0" y="0"/>
            <wp:positionH relativeFrom="column">
              <wp:posOffset>273050</wp:posOffset>
            </wp:positionH>
            <wp:positionV relativeFrom="paragraph">
              <wp:posOffset>209550</wp:posOffset>
            </wp:positionV>
            <wp:extent cx="1924685" cy="473075"/>
            <wp:effectExtent l="0" t="0" r="0" b="0"/>
            <wp:wrapNone/>
            <wp:docPr id="2"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2"/>
                    <pic:cNvPicPr>
                      <a:picLocks noChangeAspect="1" noChangeArrowheads="1"/>
                    </pic:cNvPicPr>
                  </pic:nvPicPr>
                  <pic:blipFill>
                    <a:blip r:embed="rId9"/>
                    <a:stretch>
                      <a:fillRect/>
                    </a:stretch>
                  </pic:blipFill>
                  <pic:spPr bwMode="auto">
                    <a:xfrm>
                      <a:off x="0" y="0"/>
                      <a:ext cx="1924685" cy="473075"/>
                    </a:xfrm>
                    <a:prstGeom prst="rect">
                      <a:avLst/>
                    </a:prstGeom>
                    <a:noFill/>
                  </pic:spPr>
                </pic:pic>
              </a:graphicData>
            </a:graphic>
          </wp:anchor>
        </w:drawing>
      </w:r>
      <w:r w:rsidRPr="00BF4357">
        <w:rPr>
          <w:rFonts w:ascii="EB Garamond" w:eastAsia="EB Garamond" w:hAnsi="EB Garamond" w:cs="EB Garamond"/>
          <w:color w:val="808080"/>
          <w:sz w:val="16"/>
          <w:szCs w:val="16"/>
          <w:lang w:val="en-GB"/>
        </w:rPr>
        <w:t>Submitted: 14/08/2025 Accepted: 5/11/2025</w:t>
      </w:r>
    </w:p>
    <w:p w14:paraId="3A4A3F14" w14:textId="77777777" w:rsidR="00792349" w:rsidRPr="00BF4357" w:rsidRDefault="00000000">
      <w:pPr>
        <w:widowControl/>
        <w:spacing w:before="1"/>
        <w:ind w:left="4708"/>
        <w:rPr>
          <w:rFonts w:ascii="EB Garamond" w:eastAsia="EB Garamond" w:hAnsi="EB Garamond" w:cs="EB Garamond"/>
          <w:sz w:val="16"/>
          <w:szCs w:val="16"/>
          <w:lang w:val="en-GB"/>
        </w:rPr>
      </w:pPr>
      <w:r w:rsidRPr="00BF4357">
        <w:rPr>
          <w:rFonts w:ascii="EB Garamond" w:eastAsia="EB Garamond" w:hAnsi="EB Garamond" w:cs="EB Garamond"/>
          <w:color w:val="808080"/>
          <w:sz w:val="16"/>
          <w:szCs w:val="16"/>
          <w:lang w:val="en-GB"/>
        </w:rPr>
        <w:t>Published: 30/01/2026</w:t>
      </w:r>
    </w:p>
    <w:p w14:paraId="4D62BCC7" w14:textId="77777777" w:rsidR="00792349" w:rsidRPr="00BF4357" w:rsidRDefault="00792349">
      <w:pPr>
        <w:widowControl/>
        <w:spacing w:before="39" w:line="252" w:lineRule="auto"/>
        <w:ind w:left="638" w:right="130"/>
        <w:rPr>
          <w:rFonts w:ascii="Arial Narrow" w:eastAsia="Arial Narrow" w:hAnsi="Arial Narrow" w:cs="Arial Narrow"/>
          <w:color w:val="231F20"/>
          <w:sz w:val="30"/>
          <w:szCs w:val="30"/>
          <w:lang w:val="en-GB"/>
        </w:rPr>
      </w:pPr>
    </w:p>
    <w:p w14:paraId="5FF10851" w14:textId="77777777" w:rsidR="00792349" w:rsidRPr="00BF4357" w:rsidRDefault="00000000">
      <w:pPr>
        <w:widowControl/>
        <w:spacing w:before="39" w:line="252" w:lineRule="auto"/>
        <w:ind w:left="426" w:right="370"/>
        <w:rPr>
          <w:rFonts w:ascii="Arial Narrow" w:eastAsia="Arial Narrow" w:hAnsi="Arial Narrow" w:cs="Arial Narrow"/>
          <w:color w:val="231F20"/>
          <w:sz w:val="30"/>
          <w:szCs w:val="30"/>
          <w:lang w:val="en-GB"/>
        </w:rPr>
      </w:pPr>
      <w:r w:rsidRPr="00BF4357">
        <w:rPr>
          <w:rFonts w:ascii="Arial Narrow" w:eastAsia="Arial Narrow" w:hAnsi="Arial Narrow" w:cs="Arial Narrow"/>
          <w:color w:val="231F20"/>
          <w:sz w:val="30"/>
          <w:szCs w:val="30"/>
          <w:lang w:val="en-GB"/>
        </w:rPr>
        <w:t>Women in politics facing harassment: two stories and three on-screen representations</w:t>
      </w:r>
    </w:p>
    <w:p w14:paraId="3CD8E617" w14:textId="77777777" w:rsidR="00792349" w:rsidRPr="00BF4357" w:rsidRDefault="00792349">
      <w:pPr>
        <w:widowControl/>
        <w:spacing w:before="39" w:line="252" w:lineRule="auto"/>
        <w:ind w:left="426" w:right="370"/>
        <w:rPr>
          <w:sz w:val="18"/>
          <w:szCs w:val="18"/>
          <w:highlight w:val="yellow"/>
          <w:lang w:val="en-GB"/>
        </w:rPr>
      </w:pPr>
    </w:p>
    <w:p w14:paraId="67FFD1F3" w14:textId="77777777" w:rsidR="00792349" w:rsidRPr="00BF4357" w:rsidRDefault="00000000">
      <w:pPr>
        <w:widowControl/>
        <w:spacing w:before="80"/>
        <w:ind w:left="426" w:right="370"/>
        <w:rPr>
          <w:sz w:val="18"/>
          <w:szCs w:val="18"/>
          <w:lang w:val="en-GB"/>
        </w:rPr>
      </w:pPr>
      <w:proofErr w:type="spellStart"/>
      <w:r w:rsidRPr="00BF4357">
        <w:rPr>
          <w:color w:val="8E1400"/>
          <w:sz w:val="18"/>
          <w:szCs w:val="18"/>
          <w:lang w:val="en-GB"/>
        </w:rPr>
        <w:t>Bénédicte</w:t>
      </w:r>
      <w:proofErr w:type="spellEnd"/>
      <w:r w:rsidRPr="00BF4357">
        <w:rPr>
          <w:color w:val="8E1400"/>
          <w:sz w:val="18"/>
          <w:szCs w:val="18"/>
          <w:lang w:val="en-GB"/>
        </w:rPr>
        <w:t xml:space="preserve"> </w:t>
      </w:r>
      <w:proofErr w:type="spellStart"/>
      <w:r w:rsidRPr="00BF4357">
        <w:rPr>
          <w:color w:val="8E1400"/>
          <w:sz w:val="18"/>
          <w:szCs w:val="18"/>
          <w:lang w:val="en-GB"/>
        </w:rPr>
        <w:t>Brémard</w:t>
      </w:r>
      <w:proofErr w:type="spellEnd"/>
      <w:r w:rsidRPr="00BF4357">
        <w:rPr>
          <w:color w:val="8E1400"/>
          <w:sz w:val="18"/>
          <w:szCs w:val="18"/>
          <w:lang w:val="en-GB"/>
        </w:rPr>
        <w:t xml:space="preserve"> |</w:t>
      </w:r>
      <w:r w:rsidRPr="00BF4357">
        <w:rPr>
          <w:color w:val="EE0000"/>
          <w:sz w:val="18"/>
          <w:szCs w:val="18"/>
          <w:lang w:val="en-GB"/>
        </w:rPr>
        <w:t xml:space="preserve"> </w:t>
      </w:r>
      <w:r>
        <w:rPr>
          <w:noProof/>
          <w:color w:val="0000FF"/>
          <w:sz w:val="18"/>
          <w:szCs w:val="18"/>
          <w:u w:val="single"/>
        </w:rPr>
        <mc:AlternateContent>
          <mc:Choice Requires="wps">
            <w:drawing>
              <wp:anchor distT="0" distB="0" distL="0" distR="0" simplePos="0" relativeHeight="53" behindDoc="0" locked="0" layoutInCell="1" allowOverlap="1" wp14:anchorId="06450B42" wp14:editId="21CD96E7">
                <wp:simplePos x="0" y="0"/>
                <wp:positionH relativeFrom="column">
                  <wp:posOffset>2670175</wp:posOffset>
                </wp:positionH>
                <wp:positionV relativeFrom="paragraph">
                  <wp:posOffset>48260</wp:posOffset>
                </wp:positionV>
                <wp:extent cx="1914525" cy="1254760"/>
                <wp:effectExtent l="5715" t="5080" r="4445" b="5080"/>
                <wp:wrapNone/>
                <wp:docPr id="3" name="Rectangle 30"/>
                <wp:cNvGraphicFramePr/>
                <a:graphic xmlns:a="http://schemas.openxmlformats.org/drawingml/2006/main">
                  <a:graphicData uri="http://schemas.microsoft.com/office/word/2010/wordprocessingShape">
                    <wps:wsp>
                      <wps:cNvSpPr/>
                      <wps:spPr>
                        <a:xfrm>
                          <a:off x="0" y="0"/>
                          <a:ext cx="1914480" cy="1254600"/>
                        </a:xfrm>
                        <a:prstGeom prst="rect">
                          <a:avLst/>
                        </a:prstGeom>
                        <a:solidFill>
                          <a:schemeClr val="lt1"/>
                        </a:solidFill>
                        <a:ln w="9525">
                          <a:solidFill>
                            <a:srgbClr val="C00000"/>
                          </a:solidFill>
                          <a:round/>
                        </a:ln>
                      </wps:spPr>
                      <wps:style>
                        <a:lnRef idx="0">
                          <a:scrgbClr r="0" g="0" b="0"/>
                        </a:lnRef>
                        <a:fillRef idx="0">
                          <a:scrgbClr r="0" g="0" b="0"/>
                        </a:fillRef>
                        <a:effectRef idx="0">
                          <a:scrgbClr r="0" g="0" b="0"/>
                        </a:effectRef>
                        <a:fontRef idx="minor"/>
                      </wps:style>
                      <wps:txbx>
                        <w:txbxContent>
                          <w:p w14:paraId="49299807" w14:textId="77777777" w:rsidR="00792349" w:rsidRDefault="00000000">
                            <w:pPr>
                              <w:pStyle w:val="Contenidodelmarco"/>
                              <w:spacing w:before="20" w:line="283" w:lineRule="auto"/>
                              <w:ind w:left="20" w:firstLine="40"/>
                            </w:pPr>
                            <w:r w:rsidRPr="00BF4357">
                              <w:rPr>
                                <w:b/>
                                <w:color w:val="231F20"/>
                                <w:sz w:val="16"/>
                                <w:lang w:val="en-GB"/>
                              </w:rPr>
                              <w:t xml:space="preserve">How to cite this text: </w:t>
                            </w:r>
                            <w:r w:rsidRPr="00BF4357">
                              <w:rPr>
                                <w:color w:val="231F20"/>
                                <w:sz w:val="16"/>
                                <w:lang w:val="en-GB"/>
                              </w:rPr>
                              <w:t xml:space="preserve">Bénédicte Brémard (2026): Women in politics facing harassment: two stories and three on-screen representations, in </w:t>
                            </w:r>
                            <w:r w:rsidRPr="00BF4357">
                              <w:rPr>
                                <w:i/>
                                <w:color w:val="231F20"/>
                                <w:sz w:val="16"/>
                                <w:lang w:val="en-GB"/>
                              </w:rPr>
                              <w:t>Miguel Hernández Communication Journal</w:t>
                            </w:r>
                            <w:r w:rsidRPr="00BF4357">
                              <w:rPr>
                                <w:color w:val="231F20"/>
                                <w:sz w:val="16"/>
                                <w:lang w:val="en-GB"/>
                              </w:rPr>
                              <w:t xml:space="preserve">, Vol. 17 (1), pp. 123 to 139. </w:t>
                            </w:r>
                            <w:r>
                              <w:rPr>
                                <w:color w:val="231F20"/>
                                <w:sz w:val="16"/>
                              </w:rPr>
                              <w:t>Miguel Hernández University, UMH (Elche-Alicante). DOI:  10.21134/ehcczh15</w:t>
                            </w:r>
                          </w:p>
                        </w:txbxContent>
                      </wps:txbx>
                      <wps:bodyPr anchor="t">
                        <a:noAutofit/>
                      </wps:bodyPr>
                    </wps:wsp>
                  </a:graphicData>
                </a:graphic>
              </wp:anchor>
            </w:drawing>
          </mc:Choice>
          <mc:Fallback>
            <w:pict>
              <v:rect w14:anchorId="06450B42" id="Rectangle 30" o:spid="_x0000_s1026" style="position:absolute;left:0;text-align:left;margin-left:210.25pt;margin-top:3.8pt;width:150.75pt;height:98.8pt;z-index:5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" fillcolor="white [3201]" strokecolor="#c00000">
                <v:stroke joinstyle="round"/>
                <v:textbox>
                  <w:txbxContent>
                    <w:p w14:paraId="49299807" w14:textId="77777777" w:rsidR="00792349" w:rsidRDefault="00000000">
                      <w:pPr>
                        <w:pStyle w:val="Contenidodelmarco"/>
                        <w:spacing w:before="20" w:line="283" w:lineRule="auto"/>
                        <w:ind w:left="20" w:firstLine="40"/>
                      </w:pPr>
                      <w:r w:rsidRPr="00BF4357">
                        <w:rPr>
                          <w:b/>
                          <w:color w:val="231F20"/>
                          <w:sz w:val="16"/>
                          <w:lang w:val="en-GB"/>
                        </w:rPr>
                        <w:t xml:space="preserve">How to cite this text: </w:t>
                      </w:r>
                      <w:r w:rsidRPr="00BF4357">
                        <w:rPr>
                          <w:color w:val="231F20"/>
                          <w:sz w:val="16"/>
                          <w:lang w:val="en-GB"/>
                        </w:rPr>
                        <w:t xml:space="preserve">Bénédicte Brémard (2026): Women in politics facing harassment: two stories and three on-screen representations, in </w:t>
                      </w:r>
                      <w:r w:rsidRPr="00BF4357">
                        <w:rPr>
                          <w:i/>
                          <w:color w:val="231F20"/>
                          <w:sz w:val="16"/>
                          <w:lang w:val="en-GB"/>
                        </w:rPr>
                        <w:t>Miguel Hernández Communication Journal</w:t>
                      </w:r>
                      <w:r w:rsidRPr="00BF4357">
                        <w:rPr>
                          <w:color w:val="231F20"/>
                          <w:sz w:val="16"/>
                          <w:lang w:val="en-GB"/>
                        </w:rPr>
                        <w:t xml:space="preserve">, Vol. 17 (1), pp. 123 to 139. </w:t>
                      </w:r>
                      <w:r>
                        <w:rPr>
                          <w:color w:val="231F20"/>
                          <w:sz w:val="16"/>
                        </w:rPr>
                        <w:t>Miguel Hernández University, UMH (Elche-Alicante). DOI:  10.21134/ehcczh15</w:t>
                      </w:r>
                    </w:p>
                  </w:txbxContent>
                </v:textbox>
              </v:rect>
            </w:pict>
          </mc:Fallback>
        </mc:AlternateContent>
      </w:r>
      <w:r w:rsidRPr="00BF4357">
        <w:rPr>
          <w:color w:val="0000FF"/>
          <w:sz w:val="18"/>
          <w:szCs w:val="18"/>
          <w:u w:val="single"/>
          <w:lang w:val="en-GB"/>
        </w:rPr>
        <w:t>benedicte.bremard@gmail.com</w:t>
      </w:r>
    </w:p>
    <w:p w14:paraId="5C26500F" w14:textId="77777777" w:rsidR="00792349" w:rsidRDefault="00000000">
      <w:pPr>
        <w:widowControl/>
        <w:spacing w:before="80"/>
        <w:ind w:left="426" w:right="370"/>
        <w:rPr>
          <w:sz w:val="18"/>
          <w:szCs w:val="18"/>
        </w:rPr>
      </w:pPr>
      <w:hyperlink r:id="rId10">
        <w:r>
          <w:rPr>
            <w:color w:val="0000FF"/>
            <w:sz w:val="18"/>
            <w:szCs w:val="18"/>
            <w:u w:val="single"/>
          </w:rPr>
          <w:t>https://orcid.org/0000-0002-4528-5164</w:t>
        </w:r>
      </w:hyperlink>
      <w:r>
        <w:rPr>
          <w:sz w:val="18"/>
          <w:szCs w:val="18"/>
        </w:rPr>
        <w:t xml:space="preserve"> </w:t>
      </w:r>
    </w:p>
    <w:p w14:paraId="44DA4829" w14:textId="77777777" w:rsidR="00792349" w:rsidRDefault="00000000">
      <w:pPr>
        <w:widowControl/>
        <w:spacing w:before="80"/>
        <w:ind w:left="426" w:right="370"/>
        <w:rPr>
          <w:sz w:val="18"/>
          <w:szCs w:val="18"/>
        </w:rPr>
      </w:pPr>
      <w:proofErr w:type="spellStart"/>
      <w:r>
        <w:rPr>
          <w:sz w:val="18"/>
          <w:szCs w:val="18"/>
        </w:rPr>
        <w:t>Université</w:t>
      </w:r>
      <w:proofErr w:type="spellEnd"/>
      <w:r>
        <w:rPr>
          <w:sz w:val="18"/>
          <w:szCs w:val="18"/>
        </w:rPr>
        <w:t xml:space="preserve"> </w:t>
      </w:r>
      <w:proofErr w:type="spellStart"/>
      <w:r>
        <w:rPr>
          <w:sz w:val="18"/>
          <w:szCs w:val="18"/>
        </w:rPr>
        <w:t>Bourgogne</w:t>
      </w:r>
      <w:proofErr w:type="spellEnd"/>
      <w:r>
        <w:rPr>
          <w:sz w:val="18"/>
          <w:szCs w:val="18"/>
        </w:rPr>
        <w:t xml:space="preserve"> </w:t>
      </w:r>
      <w:proofErr w:type="spellStart"/>
      <w:r>
        <w:rPr>
          <w:sz w:val="18"/>
          <w:szCs w:val="18"/>
        </w:rPr>
        <w:t>Europe</w:t>
      </w:r>
      <w:proofErr w:type="spellEnd"/>
      <w:r>
        <w:rPr>
          <w:sz w:val="18"/>
          <w:szCs w:val="18"/>
        </w:rPr>
        <w:t xml:space="preserve"> (Francia)</w:t>
      </w:r>
    </w:p>
    <w:p w14:paraId="050F1847" w14:textId="77777777" w:rsidR="00792349" w:rsidRDefault="00792349">
      <w:pPr>
        <w:widowControl/>
        <w:spacing w:before="39" w:line="252" w:lineRule="auto"/>
        <w:ind w:left="426" w:right="370"/>
        <w:rPr>
          <w:sz w:val="18"/>
          <w:szCs w:val="18"/>
          <w:highlight w:val="yellow"/>
        </w:rPr>
      </w:pPr>
    </w:p>
    <w:p w14:paraId="2F2304EE" w14:textId="77777777" w:rsidR="00792349" w:rsidRDefault="00792349">
      <w:pPr>
        <w:widowControl/>
        <w:spacing w:before="39" w:line="252" w:lineRule="auto"/>
        <w:ind w:left="426" w:right="370"/>
        <w:rPr>
          <w:sz w:val="18"/>
          <w:szCs w:val="18"/>
          <w:highlight w:val="yellow"/>
        </w:rPr>
      </w:pPr>
    </w:p>
    <w:p w14:paraId="6D80ED95" w14:textId="77777777" w:rsidR="00792349" w:rsidRDefault="00792349">
      <w:pPr>
        <w:widowControl/>
        <w:spacing w:before="39" w:line="252" w:lineRule="auto"/>
        <w:ind w:left="426" w:right="370"/>
        <w:rPr>
          <w:sz w:val="18"/>
          <w:szCs w:val="18"/>
          <w:highlight w:val="yellow"/>
        </w:rPr>
      </w:pPr>
    </w:p>
    <w:p w14:paraId="06276624" w14:textId="77777777" w:rsidR="00792349" w:rsidRDefault="00792349">
      <w:pPr>
        <w:widowControl/>
        <w:spacing w:before="39" w:line="252" w:lineRule="auto"/>
        <w:ind w:left="426" w:right="370"/>
        <w:rPr>
          <w:sz w:val="18"/>
          <w:szCs w:val="18"/>
          <w:highlight w:val="yellow"/>
        </w:rPr>
      </w:pPr>
    </w:p>
    <w:p w14:paraId="3086340B" w14:textId="77777777" w:rsidR="00792349" w:rsidRDefault="00792349">
      <w:pPr>
        <w:widowControl/>
        <w:spacing w:before="80"/>
        <w:ind w:left="641" w:right="85"/>
        <w:rPr>
          <w:sz w:val="20"/>
          <w:szCs w:val="20"/>
        </w:rPr>
      </w:pPr>
    </w:p>
    <w:tbl>
      <w:tblPr>
        <w:tblW w:w="7087" w:type="dxa"/>
        <w:tblInd w:w="421" w:type="dxa"/>
        <w:tblLayout w:type="fixed"/>
        <w:tblLook w:val="0400" w:firstRow="0" w:lastRow="0" w:firstColumn="0" w:lastColumn="0" w:noHBand="0" w:noVBand="1"/>
      </w:tblPr>
      <w:tblGrid>
        <w:gridCol w:w="2408"/>
        <w:gridCol w:w="4679"/>
      </w:tblGrid>
      <w:tr w:rsidR="00792349" w14:paraId="579D50DF" w14:textId="77777777">
        <w:tc>
          <w:tcPr>
            <w:tcW w:w="2408" w:type="dxa"/>
            <w:vAlign w:val="center"/>
          </w:tcPr>
          <w:p w14:paraId="27874FFB" w14:textId="77777777" w:rsidR="00792349" w:rsidRDefault="00000000">
            <w:pPr>
              <w:widowControl/>
              <w:spacing w:before="177" w:line="204" w:lineRule="auto"/>
              <w:rPr>
                <w:b/>
                <w:bCs/>
                <w:sz w:val="18"/>
                <w:szCs w:val="18"/>
              </w:rPr>
            </w:pPr>
            <w:r>
              <w:rPr>
                <w:b/>
                <w:bCs/>
                <w:sz w:val="18"/>
                <w:szCs w:val="18"/>
              </w:rPr>
              <w:t>Sumario</w:t>
            </w:r>
          </w:p>
        </w:tc>
        <w:tc>
          <w:tcPr>
            <w:tcW w:w="4679" w:type="dxa"/>
            <w:vAlign w:val="center"/>
          </w:tcPr>
          <w:p w14:paraId="0D141CB0" w14:textId="77777777" w:rsidR="00792349" w:rsidRDefault="00000000">
            <w:pPr>
              <w:widowControl/>
              <w:spacing w:before="177" w:line="204" w:lineRule="auto"/>
              <w:rPr>
                <w:b/>
                <w:bCs/>
                <w:sz w:val="18"/>
                <w:szCs w:val="18"/>
              </w:rPr>
            </w:pPr>
            <w:r>
              <w:rPr>
                <w:b/>
                <w:bCs/>
                <w:sz w:val="18"/>
                <w:szCs w:val="18"/>
              </w:rPr>
              <w:t>Resumen</w:t>
            </w:r>
          </w:p>
        </w:tc>
      </w:tr>
      <w:tr w:rsidR="00792349" w:rsidRPr="00BF4357" w14:paraId="2F722CB1" w14:textId="77777777">
        <w:tc>
          <w:tcPr>
            <w:tcW w:w="2408" w:type="dxa"/>
          </w:tcPr>
          <w:p w14:paraId="4934590C" w14:textId="77777777" w:rsidR="00792349" w:rsidRDefault="00000000">
            <w:pPr>
              <w:widowControl/>
              <w:numPr>
                <w:ilvl w:val="0"/>
                <w:numId w:val="1"/>
              </w:numPr>
              <w:spacing w:line="180" w:lineRule="auto"/>
              <w:ind w:left="169" w:right="36" w:hanging="142"/>
              <w:rPr>
                <w:color w:val="000000"/>
                <w:sz w:val="16"/>
                <w:szCs w:val="16"/>
              </w:rPr>
            </w:pPr>
            <w:proofErr w:type="spellStart"/>
            <w:r>
              <w:rPr>
                <w:color w:val="808080"/>
                <w:sz w:val="16"/>
                <w:szCs w:val="16"/>
              </w:rPr>
              <w:t>Introduction</w:t>
            </w:r>
            <w:proofErr w:type="spellEnd"/>
            <w:r>
              <w:rPr>
                <w:color w:val="808080"/>
                <w:sz w:val="16"/>
                <w:szCs w:val="16"/>
              </w:rPr>
              <w:t xml:space="preserve">: </w:t>
            </w:r>
            <w:proofErr w:type="spellStart"/>
            <w:r>
              <w:rPr>
                <w:color w:val="808080"/>
                <w:sz w:val="16"/>
                <w:szCs w:val="16"/>
              </w:rPr>
              <w:t>justification</w:t>
            </w:r>
            <w:proofErr w:type="spellEnd"/>
            <w:r>
              <w:rPr>
                <w:color w:val="808080"/>
                <w:sz w:val="16"/>
                <w:szCs w:val="16"/>
              </w:rPr>
              <w:t xml:space="preserve"> and </w:t>
            </w:r>
            <w:proofErr w:type="spellStart"/>
            <w:r>
              <w:rPr>
                <w:color w:val="808080"/>
                <w:sz w:val="16"/>
                <w:szCs w:val="16"/>
              </w:rPr>
              <w:t>theorical</w:t>
            </w:r>
            <w:proofErr w:type="spellEnd"/>
            <w:r>
              <w:rPr>
                <w:color w:val="808080"/>
                <w:sz w:val="16"/>
                <w:szCs w:val="16"/>
              </w:rPr>
              <w:t xml:space="preserve"> </w:t>
            </w:r>
            <w:proofErr w:type="spellStart"/>
            <w:r>
              <w:rPr>
                <w:color w:val="808080"/>
                <w:sz w:val="16"/>
                <w:szCs w:val="16"/>
              </w:rPr>
              <w:t>framework</w:t>
            </w:r>
            <w:proofErr w:type="spellEnd"/>
          </w:p>
          <w:p w14:paraId="7848F99F" w14:textId="77777777" w:rsidR="00792349" w:rsidRDefault="00000000">
            <w:pPr>
              <w:widowControl/>
              <w:numPr>
                <w:ilvl w:val="0"/>
                <w:numId w:val="1"/>
              </w:numPr>
              <w:spacing w:line="180" w:lineRule="auto"/>
              <w:ind w:left="169" w:right="36" w:hanging="142"/>
              <w:rPr>
                <w:color w:val="000000"/>
                <w:sz w:val="16"/>
                <w:szCs w:val="16"/>
              </w:rPr>
            </w:pPr>
            <w:proofErr w:type="spellStart"/>
            <w:r>
              <w:rPr>
                <w:color w:val="808080"/>
                <w:sz w:val="16"/>
                <w:szCs w:val="16"/>
              </w:rPr>
              <w:t>Objectives</w:t>
            </w:r>
            <w:proofErr w:type="spellEnd"/>
            <w:r>
              <w:rPr>
                <w:color w:val="808080"/>
                <w:sz w:val="16"/>
                <w:szCs w:val="16"/>
              </w:rPr>
              <w:t xml:space="preserve"> and </w:t>
            </w:r>
            <w:proofErr w:type="spellStart"/>
            <w:r>
              <w:rPr>
                <w:color w:val="808080"/>
                <w:sz w:val="16"/>
                <w:szCs w:val="16"/>
              </w:rPr>
              <w:t>methodology</w:t>
            </w:r>
            <w:proofErr w:type="spellEnd"/>
          </w:p>
          <w:p w14:paraId="229D47EB" w14:textId="77777777" w:rsidR="00792349" w:rsidRDefault="00000000">
            <w:pPr>
              <w:widowControl/>
              <w:numPr>
                <w:ilvl w:val="0"/>
                <w:numId w:val="1"/>
              </w:numPr>
              <w:tabs>
                <w:tab w:val="left" w:pos="847"/>
              </w:tabs>
              <w:spacing w:line="180" w:lineRule="auto"/>
              <w:ind w:left="169" w:right="36" w:hanging="142"/>
              <w:rPr>
                <w:color w:val="000000"/>
                <w:sz w:val="16"/>
                <w:szCs w:val="16"/>
              </w:rPr>
            </w:pPr>
            <w:proofErr w:type="spellStart"/>
            <w:r>
              <w:rPr>
                <w:color w:val="808080"/>
                <w:sz w:val="16"/>
                <w:szCs w:val="16"/>
              </w:rPr>
              <w:t>Analysis</w:t>
            </w:r>
            <w:proofErr w:type="spellEnd"/>
            <w:r>
              <w:rPr>
                <w:color w:val="808080"/>
                <w:sz w:val="16"/>
                <w:szCs w:val="16"/>
              </w:rPr>
              <w:t xml:space="preserve"> and </w:t>
            </w:r>
            <w:proofErr w:type="spellStart"/>
            <w:r>
              <w:rPr>
                <w:color w:val="808080"/>
                <w:sz w:val="16"/>
                <w:szCs w:val="16"/>
              </w:rPr>
              <w:t>results</w:t>
            </w:r>
            <w:proofErr w:type="spellEnd"/>
            <w:r>
              <w:rPr>
                <w:color w:val="808080"/>
                <w:sz w:val="16"/>
                <w:szCs w:val="16"/>
              </w:rPr>
              <w:t xml:space="preserve"> </w:t>
            </w:r>
          </w:p>
          <w:p w14:paraId="06DCBF4B" w14:textId="77777777" w:rsidR="00792349" w:rsidRDefault="00000000">
            <w:pPr>
              <w:widowControl/>
              <w:numPr>
                <w:ilvl w:val="1"/>
                <w:numId w:val="1"/>
              </w:numPr>
              <w:tabs>
                <w:tab w:val="left" w:pos="169"/>
              </w:tabs>
              <w:spacing w:before="9" w:line="199" w:lineRule="auto"/>
              <w:ind w:left="169" w:right="36" w:hanging="142"/>
              <w:rPr>
                <w:color w:val="000000"/>
                <w:sz w:val="16"/>
                <w:szCs w:val="16"/>
              </w:rPr>
            </w:pPr>
            <w:proofErr w:type="spellStart"/>
            <w:r>
              <w:rPr>
                <w:color w:val="808080"/>
                <w:sz w:val="16"/>
                <w:szCs w:val="16"/>
              </w:rPr>
              <w:t>Production</w:t>
            </w:r>
            <w:proofErr w:type="spellEnd"/>
            <w:r>
              <w:rPr>
                <w:color w:val="808080"/>
                <w:sz w:val="16"/>
                <w:szCs w:val="16"/>
              </w:rPr>
              <w:t xml:space="preserve"> </w:t>
            </w:r>
            <w:proofErr w:type="spellStart"/>
            <w:r>
              <w:rPr>
                <w:color w:val="808080"/>
                <w:sz w:val="16"/>
                <w:szCs w:val="16"/>
              </w:rPr>
              <w:t>contexts</w:t>
            </w:r>
            <w:proofErr w:type="spellEnd"/>
            <w:r>
              <w:rPr>
                <w:color w:val="808080"/>
                <w:sz w:val="16"/>
                <w:szCs w:val="16"/>
              </w:rPr>
              <w:t xml:space="preserve"> </w:t>
            </w:r>
          </w:p>
          <w:p w14:paraId="5DA34735" w14:textId="77777777" w:rsidR="00792349" w:rsidRDefault="00000000">
            <w:pPr>
              <w:widowControl/>
              <w:numPr>
                <w:ilvl w:val="1"/>
                <w:numId w:val="1"/>
              </w:numPr>
              <w:tabs>
                <w:tab w:val="left" w:pos="169"/>
              </w:tabs>
              <w:spacing w:before="1" w:line="199" w:lineRule="auto"/>
              <w:ind w:left="169" w:right="36" w:hanging="142"/>
              <w:rPr>
                <w:color w:val="000000"/>
                <w:sz w:val="16"/>
                <w:szCs w:val="16"/>
              </w:rPr>
            </w:pPr>
            <w:proofErr w:type="spellStart"/>
            <w:r>
              <w:rPr>
                <w:color w:val="808080"/>
                <w:sz w:val="16"/>
                <w:szCs w:val="16"/>
              </w:rPr>
              <w:t>Promotion</w:t>
            </w:r>
            <w:proofErr w:type="spellEnd"/>
            <w:r>
              <w:rPr>
                <w:color w:val="808080"/>
                <w:sz w:val="16"/>
                <w:szCs w:val="16"/>
              </w:rPr>
              <w:t xml:space="preserve"> and </w:t>
            </w:r>
            <w:proofErr w:type="spellStart"/>
            <w:r>
              <w:rPr>
                <w:color w:val="808080"/>
                <w:sz w:val="16"/>
                <w:szCs w:val="16"/>
              </w:rPr>
              <w:t>reception</w:t>
            </w:r>
            <w:proofErr w:type="spellEnd"/>
            <w:r>
              <w:rPr>
                <w:color w:val="808080"/>
                <w:sz w:val="16"/>
                <w:szCs w:val="16"/>
              </w:rPr>
              <w:t xml:space="preserve"> </w:t>
            </w:r>
          </w:p>
          <w:p w14:paraId="5BEFA77A" w14:textId="77777777" w:rsidR="00792349" w:rsidRPr="00BF4357" w:rsidRDefault="00000000">
            <w:pPr>
              <w:widowControl/>
              <w:numPr>
                <w:ilvl w:val="1"/>
                <w:numId w:val="1"/>
              </w:numPr>
              <w:tabs>
                <w:tab w:val="left" w:pos="169"/>
              </w:tabs>
              <w:spacing w:before="2" w:line="199" w:lineRule="auto"/>
              <w:ind w:left="169" w:right="36" w:hanging="142"/>
              <w:rPr>
                <w:color w:val="000000"/>
                <w:sz w:val="16"/>
                <w:szCs w:val="16"/>
                <w:lang w:val="en-GB"/>
              </w:rPr>
            </w:pPr>
            <w:r w:rsidRPr="00BF4357">
              <w:rPr>
                <w:color w:val="808080"/>
                <w:sz w:val="16"/>
                <w:szCs w:val="16"/>
                <w:lang w:val="en-GB"/>
              </w:rPr>
              <w:t xml:space="preserve">Stories of emancipation = emancipated stories? </w:t>
            </w:r>
          </w:p>
          <w:p w14:paraId="13F8CA64" w14:textId="77777777" w:rsidR="00792349" w:rsidRDefault="00000000">
            <w:pPr>
              <w:widowControl/>
              <w:numPr>
                <w:ilvl w:val="0"/>
                <w:numId w:val="1"/>
              </w:numPr>
              <w:spacing w:line="173" w:lineRule="auto"/>
              <w:ind w:left="169" w:right="36" w:hanging="142"/>
              <w:rPr>
                <w:color w:val="000000"/>
                <w:sz w:val="16"/>
                <w:szCs w:val="16"/>
              </w:rPr>
            </w:pPr>
            <w:proofErr w:type="spellStart"/>
            <w:r>
              <w:rPr>
                <w:color w:val="808080"/>
                <w:sz w:val="16"/>
                <w:szCs w:val="16"/>
              </w:rPr>
              <w:t>Discussion</w:t>
            </w:r>
            <w:proofErr w:type="spellEnd"/>
            <w:r>
              <w:rPr>
                <w:color w:val="808080"/>
                <w:sz w:val="16"/>
                <w:szCs w:val="16"/>
              </w:rPr>
              <w:t xml:space="preserve"> and </w:t>
            </w:r>
            <w:proofErr w:type="spellStart"/>
            <w:r>
              <w:rPr>
                <w:color w:val="808080"/>
                <w:sz w:val="16"/>
                <w:szCs w:val="16"/>
              </w:rPr>
              <w:t>conclusions</w:t>
            </w:r>
            <w:proofErr w:type="spellEnd"/>
          </w:p>
          <w:p w14:paraId="4A79145A" w14:textId="77777777" w:rsidR="00792349" w:rsidRDefault="00000000">
            <w:pPr>
              <w:widowControl/>
              <w:numPr>
                <w:ilvl w:val="0"/>
                <w:numId w:val="1"/>
              </w:numPr>
              <w:spacing w:line="199" w:lineRule="auto"/>
              <w:ind w:left="169" w:right="36" w:hanging="142"/>
              <w:rPr>
                <w:color w:val="000000"/>
                <w:sz w:val="16"/>
                <w:szCs w:val="16"/>
              </w:rPr>
            </w:pPr>
            <w:proofErr w:type="spellStart"/>
            <w:r>
              <w:rPr>
                <w:color w:val="808080"/>
                <w:sz w:val="16"/>
                <w:szCs w:val="16"/>
              </w:rPr>
              <w:t>Bibliography</w:t>
            </w:r>
            <w:proofErr w:type="spellEnd"/>
          </w:p>
          <w:p w14:paraId="220E991D" w14:textId="77777777" w:rsidR="00792349" w:rsidRDefault="00000000">
            <w:pPr>
              <w:widowControl/>
              <w:numPr>
                <w:ilvl w:val="1"/>
                <w:numId w:val="1"/>
              </w:numPr>
              <w:tabs>
                <w:tab w:val="left" w:pos="169"/>
              </w:tabs>
              <w:spacing w:before="9" w:line="199" w:lineRule="auto"/>
              <w:ind w:left="169" w:right="36" w:hanging="142"/>
              <w:rPr>
                <w:color w:val="000000"/>
                <w:sz w:val="16"/>
                <w:szCs w:val="16"/>
              </w:rPr>
            </w:pPr>
            <w:r>
              <w:rPr>
                <w:color w:val="808080"/>
                <w:sz w:val="16"/>
                <w:szCs w:val="16"/>
              </w:rPr>
              <w:t xml:space="preserve">General </w:t>
            </w:r>
            <w:proofErr w:type="spellStart"/>
            <w:r>
              <w:rPr>
                <w:color w:val="808080"/>
                <w:sz w:val="16"/>
                <w:szCs w:val="16"/>
              </w:rPr>
              <w:t>studies</w:t>
            </w:r>
            <w:proofErr w:type="spellEnd"/>
            <w:r>
              <w:rPr>
                <w:color w:val="808080"/>
                <w:sz w:val="16"/>
                <w:szCs w:val="16"/>
              </w:rPr>
              <w:t xml:space="preserve"> </w:t>
            </w:r>
            <w:proofErr w:type="spellStart"/>
            <w:r>
              <w:rPr>
                <w:color w:val="808080"/>
                <w:sz w:val="16"/>
                <w:szCs w:val="16"/>
              </w:rPr>
              <w:t>on</w:t>
            </w:r>
            <w:proofErr w:type="spellEnd"/>
            <w:r>
              <w:rPr>
                <w:color w:val="808080"/>
                <w:sz w:val="16"/>
                <w:szCs w:val="16"/>
              </w:rPr>
              <w:t xml:space="preserve"> audiovisual</w:t>
            </w:r>
          </w:p>
          <w:p w14:paraId="2514ADE7" w14:textId="77777777" w:rsidR="00792349" w:rsidRDefault="00000000">
            <w:pPr>
              <w:widowControl/>
              <w:numPr>
                <w:ilvl w:val="1"/>
                <w:numId w:val="1"/>
              </w:numPr>
              <w:tabs>
                <w:tab w:val="left" w:pos="169"/>
              </w:tabs>
              <w:spacing w:before="9" w:line="199" w:lineRule="auto"/>
              <w:ind w:left="169" w:right="36" w:hanging="142"/>
              <w:rPr>
                <w:color w:val="808080"/>
                <w:sz w:val="16"/>
                <w:szCs w:val="16"/>
              </w:rPr>
            </w:pPr>
            <w:proofErr w:type="spellStart"/>
            <w:r>
              <w:rPr>
                <w:color w:val="808080"/>
                <w:sz w:val="16"/>
                <w:szCs w:val="16"/>
              </w:rPr>
              <w:t>About</w:t>
            </w:r>
            <w:proofErr w:type="spellEnd"/>
            <w:r>
              <w:rPr>
                <w:color w:val="808080"/>
                <w:sz w:val="16"/>
                <w:szCs w:val="16"/>
              </w:rPr>
              <w:t xml:space="preserve"> </w:t>
            </w:r>
            <w:proofErr w:type="spellStart"/>
            <w:r>
              <w:rPr>
                <w:i/>
                <w:iCs/>
                <w:color w:val="808080"/>
                <w:sz w:val="16"/>
                <w:szCs w:val="16"/>
              </w:rPr>
              <w:t>Intimacy</w:t>
            </w:r>
            <w:proofErr w:type="spellEnd"/>
          </w:p>
          <w:p w14:paraId="25602B85" w14:textId="77777777" w:rsidR="00792349" w:rsidRPr="00BF4357" w:rsidRDefault="00000000">
            <w:pPr>
              <w:widowControl/>
              <w:numPr>
                <w:ilvl w:val="1"/>
                <w:numId w:val="1"/>
              </w:numPr>
              <w:tabs>
                <w:tab w:val="left" w:pos="169"/>
              </w:tabs>
              <w:spacing w:before="9" w:line="199" w:lineRule="auto"/>
              <w:ind w:left="169" w:right="36" w:hanging="142"/>
              <w:rPr>
                <w:color w:val="000000"/>
                <w:sz w:val="16"/>
                <w:szCs w:val="16"/>
                <w:lang w:val="en-GB"/>
              </w:rPr>
            </w:pPr>
            <w:r w:rsidRPr="00BF4357">
              <w:rPr>
                <w:color w:val="808080"/>
                <w:sz w:val="16"/>
                <w:szCs w:val="16"/>
                <w:lang w:val="en-GB"/>
              </w:rPr>
              <w:t>About the Nevenka case and its representations</w:t>
            </w:r>
          </w:p>
          <w:p w14:paraId="7572546C" w14:textId="77777777" w:rsidR="00792349" w:rsidRPr="00BF4357" w:rsidRDefault="00792349">
            <w:pPr>
              <w:widowControl/>
              <w:spacing w:before="177" w:line="204" w:lineRule="auto"/>
              <w:ind w:left="169" w:hanging="142"/>
              <w:rPr>
                <w:b/>
                <w:bCs/>
                <w:sz w:val="18"/>
                <w:szCs w:val="18"/>
                <w:lang w:val="en-GB"/>
              </w:rPr>
            </w:pPr>
          </w:p>
        </w:tc>
        <w:tc>
          <w:tcPr>
            <w:tcW w:w="4679" w:type="dxa"/>
          </w:tcPr>
          <w:p w14:paraId="3E1D9B89" w14:textId="77777777" w:rsidR="00792349" w:rsidRDefault="00000000">
            <w:pPr>
              <w:widowControl/>
              <w:spacing w:line="204" w:lineRule="auto"/>
              <w:jc w:val="both"/>
              <w:rPr>
                <w:sz w:val="18"/>
                <w:szCs w:val="18"/>
                <w:lang w:val="en-US"/>
              </w:rPr>
            </w:pPr>
            <w:r>
              <w:rPr>
                <w:i/>
                <w:iCs/>
                <w:sz w:val="18"/>
                <w:szCs w:val="18"/>
                <w:lang w:val="en-US"/>
              </w:rPr>
              <w:t>Intimacy</w:t>
            </w:r>
            <w:r>
              <w:rPr>
                <w:sz w:val="18"/>
                <w:szCs w:val="18"/>
                <w:lang w:val="en-US"/>
              </w:rPr>
              <w:t xml:space="preserve"> (Netflix, 2022), </w:t>
            </w:r>
            <w:r>
              <w:rPr>
                <w:i/>
                <w:iCs/>
                <w:sz w:val="18"/>
                <w:szCs w:val="18"/>
                <w:lang w:val="en-US"/>
              </w:rPr>
              <w:t>Nevenka</w:t>
            </w:r>
            <w:r>
              <w:rPr>
                <w:sz w:val="18"/>
                <w:szCs w:val="18"/>
                <w:lang w:val="en-US"/>
              </w:rPr>
              <w:t xml:space="preserve"> (Netflix, 2021) and </w:t>
            </w:r>
            <w:r>
              <w:rPr>
                <w:i/>
                <w:iCs/>
                <w:sz w:val="18"/>
                <w:szCs w:val="18"/>
                <w:lang w:val="en-US"/>
              </w:rPr>
              <w:t>I am Nevenka</w:t>
            </w:r>
            <w:r>
              <w:rPr>
                <w:sz w:val="18"/>
                <w:szCs w:val="18"/>
                <w:lang w:val="en-US"/>
              </w:rPr>
              <w:t xml:space="preserve"> (Icíar Bollaín, 2024): in just three years, a fictions series, a documentary series and a fiction film have proposed, from a streaming platform to the big screen, three representations of female politicians who are victims of sexual harassment or </w:t>
            </w:r>
            <w:proofErr w:type="spellStart"/>
            <w:r>
              <w:rPr>
                <w:sz w:val="18"/>
                <w:szCs w:val="18"/>
                <w:lang w:val="en-US"/>
              </w:rPr>
              <w:t>ciberbullying</w:t>
            </w:r>
            <w:proofErr w:type="spellEnd"/>
            <w:r>
              <w:rPr>
                <w:sz w:val="18"/>
                <w:szCs w:val="18"/>
                <w:lang w:val="en-US"/>
              </w:rPr>
              <w:t xml:space="preserve">. Inspired by two true stories (that of Nevenka Fernández and that of Olvido Hormigos) dating from 2000 and 2012 and which marked a before and after in the judicial treatment of harassment, why have these productions only emerged more than a decade after the events and several years after the explosion of the #MeToo movement? Are they representative of a change in the media’s view of politicians and harassment? The comparative study of production contexts and promotion strategies adapted to the different </w:t>
            </w:r>
            <w:proofErr w:type="gramStart"/>
            <w:r>
              <w:rPr>
                <w:sz w:val="18"/>
                <w:szCs w:val="18"/>
                <w:lang w:val="en-US"/>
              </w:rPr>
              <w:t>receptions</w:t>
            </w:r>
            <w:proofErr w:type="gramEnd"/>
            <w:r>
              <w:rPr>
                <w:sz w:val="18"/>
                <w:szCs w:val="18"/>
                <w:lang w:val="en-US"/>
              </w:rPr>
              <w:t xml:space="preserve"> horizons (streaming versus cinema, fiction versus documentary) will allow us to understand the reasons for this sudden interest. Likewise, the analysis of the audiovisual text will help us to highlight the degree of innovation of each medium and to determine to what extent they participate in the deconstruction of sexist and patriarchal schemes and the construction of an image of sisterhood.</w:t>
            </w:r>
          </w:p>
          <w:p w14:paraId="10E4AA9E" w14:textId="77777777" w:rsidR="00792349" w:rsidRDefault="00792349">
            <w:pPr>
              <w:widowControl/>
              <w:spacing w:line="204" w:lineRule="auto"/>
              <w:jc w:val="both"/>
              <w:rPr>
                <w:sz w:val="18"/>
                <w:szCs w:val="18"/>
                <w:lang w:val="en-US"/>
              </w:rPr>
            </w:pPr>
          </w:p>
        </w:tc>
      </w:tr>
    </w:tbl>
    <w:p w14:paraId="4A294C1B" w14:textId="77777777" w:rsidR="00792349" w:rsidRPr="00BF4357" w:rsidRDefault="00000000">
      <w:pPr>
        <w:widowControl/>
        <w:spacing w:before="177" w:line="204" w:lineRule="auto"/>
        <w:ind w:left="660"/>
        <w:jc w:val="both"/>
        <w:rPr>
          <w:b/>
          <w:bCs/>
          <w:sz w:val="18"/>
          <w:szCs w:val="18"/>
          <w:lang w:val="en-GB"/>
        </w:rPr>
      </w:pPr>
      <w:r w:rsidRPr="00BF4357">
        <w:rPr>
          <w:b/>
          <w:bCs/>
          <w:sz w:val="18"/>
          <w:szCs w:val="18"/>
          <w:lang w:val="en-GB"/>
        </w:rPr>
        <w:t>Palabras clave</w:t>
      </w:r>
    </w:p>
    <w:p w14:paraId="2D597E6D" w14:textId="77777777" w:rsidR="00792349" w:rsidRPr="00BF4357" w:rsidRDefault="00000000">
      <w:pPr>
        <w:widowControl/>
        <w:spacing w:before="9" w:line="199" w:lineRule="auto"/>
        <w:ind w:left="660" w:right="134"/>
        <w:jc w:val="both"/>
        <w:rPr>
          <w:sz w:val="18"/>
          <w:szCs w:val="18"/>
          <w:lang w:val="en-GB"/>
        </w:rPr>
        <w:sectPr w:rsidR="00792349" w:rsidRPr="00BF4357">
          <w:headerReference w:type="default" r:id="rId11"/>
          <w:footerReference w:type="default" r:id="rId12"/>
          <w:headerReference w:type="first" r:id="rId13"/>
          <w:footerReference w:type="first" r:id="rId14"/>
          <w:pgSz w:w="9640" w:h="13610"/>
          <w:pgMar w:top="1480" w:right="1000" w:bottom="2120" w:left="1040" w:header="1148" w:footer="1931" w:gutter="0"/>
          <w:pgNumType w:start="1"/>
          <w:cols w:space="720"/>
          <w:formProt w:val="0"/>
          <w:docGrid w:linePitch="100"/>
        </w:sectPr>
      </w:pPr>
      <w:r w:rsidRPr="00BF4357">
        <w:rPr>
          <w:sz w:val="18"/>
          <w:szCs w:val="18"/>
          <w:lang w:val="en-GB"/>
        </w:rPr>
        <w:t>“harassment”; “female politicians”; “Nevenka”; “</w:t>
      </w:r>
      <w:r w:rsidRPr="00BF4357">
        <w:rPr>
          <w:i/>
          <w:iCs/>
          <w:sz w:val="18"/>
          <w:szCs w:val="18"/>
          <w:lang w:val="en-GB"/>
        </w:rPr>
        <w:t>Intimacy</w:t>
      </w:r>
      <w:r w:rsidRPr="00BF4357">
        <w:rPr>
          <w:sz w:val="18"/>
          <w:szCs w:val="18"/>
          <w:lang w:val="en-GB"/>
        </w:rPr>
        <w:t>”; “Olvido clause”; “Iveco case”</w:t>
      </w:r>
    </w:p>
    <w:p w14:paraId="5D53F489" w14:textId="77777777" w:rsidR="00792349" w:rsidRPr="00BF4357" w:rsidRDefault="00792349">
      <w:pPr>
        <w:widowControl/>
        <w:spacing w:after="80"/>
        <w:ind w:left="426" w:right="370"/>
        <w:jc w:val="both"/>
        <w:rPr>
          <w:lang w:val="en-GB"/>
        </w:rPr>
      </w:pPr>
    </w:p>
    <w:p w14:paraId="78D91CE8" w14:textId="77777777" w:rsidR="00792349" w:rsidRDefault="00000000">
      <w:pPr>
        <w:pStyle w:val="Ttulo2"/>
        <w:widowControl/>
        <w:rPr>
          <w:lang w:val="en-US"/>
        </w:rPr>
      </w:pPr>
      <w:bookmarkStart w:id="0" w:name="_heading=h.n80v7u1wmde6"/>
      <w:bookmarkEnd w:id="0"/>
      <w:r>
        <w:rPr>
          <w:lang w:val="en-US"/>
        </w:rPr>
        <w:t>1. Introduction: Justification and Theoretical Framework</w:t>
      </w:r>
    </w:p>
    <w:p w14:paraId="3C36FB20" w14:textId="77777777" w:rsidR="00792349" w:rsidRDefault="00792349">
      <w:pPr>
        <w:widowControl/>
        <w:spacing w:after="80"/>
        <w:ind w:left="426" w:right="370"/>
        <w:jc w:val="both"/>
        <w:rPr>
          <w:lang w:val="en-US"/>
        </w:rPr>
      </w:pPr>
    </w:p>
    <w:p w14:paraId="244CC46E" w14:textId="77777777" w:rsidR="00792349" w:rsidRDefault="00000000">
      <w:pPr>
        <w:widowControl/>
        <w:spacing w:after="80"/>
        <w:ind w:left="426" w:right="370"/>
        <w:jc w:val="both"/>
        <w:rPr>
          <w:lang w:val="en-US"/>
        </w:rPr>
      </w:pPr>
      <w:proofErr w:type="spellStart"/>
      <w:r>
        <w:rPr>
          <w:i/>
          <w:iCs/>
          <w:lang w:val="en-US"/>
        </w:rPr>
        <w:t>Intimidad</w:t>
      </w:r>
      <w:proofErr w:type="spellEnd"/>
      <w:r>
        <w:rPr>
          <w:i/>
          <w:iCs/>
          <w:lang w:val="en-US"/>
        </w:rPr>
        <w:t xml:space="preserve"> </w:t>
      </w:r>
      <w:r>
        <w:rPr>
          <w:lang w:val="en-US"/>
        </w:rPr>
        <w:t xml:space="preserve">(Netflix, 2022), </w:t>
      </w:r>
      <w:r>
        <w:rPr>
          <w:i/>
          <w:iCs/>
          <w:lang w:val="en-US"/>
        </w:rPr>
        <w:t xml:space="preserve">Nevenka </w:t>
      </w:r>
      <w:r>
        <w:rPr>
          <w:lang w:val="en-US"/>
        </w:rPr>
        <w:t xml:space="preserve">(Netflix, 2021), and </w:t>
      </w:r>
      <w:r>
        <w:rPr>
          <w:i/>
          <w:iCs/>
          <w:lang w:val="en-US"/>
        </w:rPr>
        <w:t>Soy Nevenka</w:t>
      </w:r>
      <w:r>
        <w:rPr>
          <w:lang w:val="en-US"/>
        </w:rPr>
        <w:t xml:space="preserve"> (Icíar Bollaín, 2024): in just three years, a fiction series, a documentary series, and a feature film—spanning from streaming platforms to the big screen—have presented three distinct depictions of female politicians who were victims of harassment or cyberbullying.</w:t>
      </w:r>
    </w:p>
    <w:p w14:paraId="30188694" w14:textId="77777777" w:rsidR="00792349" w:rsidRDefault="00792349">
      <w:pPr>
        <w:widowControl/>
        <w:spacing w:after="80"/>
        <w:ind w:left="426" w:right="370"/>
        <w:jc w:val="both"/>
        <w:rPr>
          <w:lang w:val="en-US"/>
        </w:rPr>
      </w:pPr>
    </w:p>
    <w:p w14:paraId="37EFB4B5" w14:textId="77777777" w:rsidR="00792349" w:rsidRDefault="00000000">
      <w:pPr>
        <w:widowControl/>
        <w:spacing w:after="80"/>
        <w:ind w:left="426" w:right="370"/>
        <w:jc w:val="both"/>
        <w:rPr>
          <w:lang w:val="en-US"/>
        </w:rPr>
      </w:pPr>
      <w:r>
        <w:rPr>
          <w:lang w:val="en-US"/>
        </w:rPr>
        <w:t>We believe this body of work warrants close academic attention for several reasons. First, these three productions are inspired by two real-life stories (those of Nevenka Fernández and Olvido Hormigos) dating back to 2000 and 2012, both of which marked a turning point in how the justice system handles harassment. Indeed, Nevenka Fernández was the first woman to win a legal battle against a politician for such a crime. As for Olvido Hormigos, the non-consensual leak of a sexual video involving her led to a reform of the Penal Code, ensuring that the unauthorized distribution of intimate images is punishable even if the footage was not stolen.</w:t>
      </w:r>
    </w:p>
    <w:p w14:paraId="01F44E89" w14:textId="77777777" w:rsidR="00792349" w:rsidRDefault="00792349">
      <w:pPr>
        <w:widowControl/>
        <w:spacing w:after="80"/>
        <w:ind w:left="426" w:right="370"/>
        <w:jc w:val="both"/>
        <w:rPr>
          <w:lang w:val="en-US"/>
        </w:rPr>
      </w:pPr>
    </w:p>
    <w:p w14:paraId="14759BE3" w14:textId="77777777" w:rsidR="00792349" w:rsidRDefault="00000000">
      <w:pPr>
        <w:widowControl/>
        <w:spacing w:after="80"/>
        <w:ind w:left="426" w:right="370"/>
        <w:jc w:val="both"/>
        <w:rPr>
          <w:lang w:val="en-US"/>
        </w:rPr>
      </w:pPr>
      <w:r>
        <w:rPr>
          <w:lang w:val="en-US"/>
        </w:rPr>
        <w:t>Furthermore, as previously noted, the cases inspiring this corpus involve women holding political office, which differs significantly from allegations made against politicians by women outside that sphere. It is also worth noting that these events took place in Spain prior to the Gender Parity Law 2/2024, which now mandates that political organizations implement protocols against gender-based violence committed by those in leadership roles.</w:t>
      </w:r>
    </w:p>
    <w:p w14:paraId="7EEA1D31" w14:textId="77777777" w:rsidR="00792349" w:rsidRDefault="00792349">
      <w:pPr>
        <w:widowControl/>
        <w:spacing w:after="80"/>
        <w:ind w:left="426" w:right="370"/>
        <w:jc w:val="both"/>
        <w:rPr>
          <w:lang w:val="en-US"/>
        </w:rPr>
      </w:pPr>
    </w:p>
    <w:p w14:paraId="766EEDD0" w14:textId="77777777" w:rsidR="00792349" w:rsidRDefault="00000000">
      <w:pPr>
        <w:widowControl/>
        <w:spacing w:after="80"/>
        <w:ind w:left="426" w:right="370"/>
        <w:jc w:val="both"/>
        <w:rPr>
          <w:lang w:val="en-US"/>
        </w:rPr>
      </w:pPr>
      <w:r>
        <w:rPr>
          <w:lang w:val="en-US"/>
        </w:rPr>
        <w:t xml:space="preserve">Finally, these three productions raise similar questions: why have they only emerged more than a decade after the events took place, and several years after the global explosion of the #MeToo movement? The "Nevenka case," which received extensive media coverage at the time, had already inspired a literary-journalistic account by Juan José </w:t>
      </w:r>
      <w:proofErr w:type="spellStart"/>
      <w:r>
        <w:rPr>
          <w:lang w:val="en-US"/>
        </w:rPr>
        <w:t>Millás</w:t>
      </w:r>
      <w:proofErr w:type="spellEnd"/>
      <w:r>
        <w:rPr>
          <w:lang w:val="en-US"/>
        </w:rPr>
        <w:t xml:space="preserve"> in 2004 (</w:t>
      </w:r>
      <w:proofErr w:type="spellStart"/>
      <w:r>
        <w:rPr>
          <w:lang w:val="en-US"/>
        </w:rPr>
        <w:t>Millás</w:t>
      </w:r>
      <w:proofErr w:type="spellEnd"/>
      <w:r>
        <w:rPr>
          <w:lang w:val="en-US"/>
        </w:rPr>
        <w:t xml:space="preserve">, 2004), serving as a foundation for both the Netflix docuseries and </w:t>
      </w:r>
      <w:proofErr w:type="spellStart"/>
      <w:r>
        <w:rPr>
          <w:lang w:val="en-US"/>
        </w:rPr>
        <w:t>Bollaín’s</w:t>
      </w:r>
      <w:proofErr w:type="spellEnd"/>
      <w:r>
        <w:rPr>
          <w:lang w:val="en-US"/>
        </w:rPr>
        <w:t xml:space="preserve"> film. Why, then, has it taken so long for audiovisual media to reclaim such an iconic story?</w:t>
      </w:r>
    </w:p>
    <w:p w14:paraId="18A63F13" w14:textId="77777777" w:rsidR="00792349" w:rsidRDefault="00792349">
      <w:pPr>
        <w:widowControl/>
        <w:spacing w:after="80"/>
        <w:ind w:left="426" w:right="370"/>
        <w:jc w:val="both"/>
        <w:rPr>
          <w:lang w:val="en-US"/>
        </w:rPr>
      </w:pPr>
    </w:p>
    <w:p w14:paraId="3CCE6EC7" w14:textId="77777777" w:rsidR="00792349" w:rsidRDefault="00000000">
      <w:pPr>
        <w:widowControl/>
        <w:spacing w:after="80"/>
        <w:ind w:left="426" w:right="370"/>
        <w:jc w:val="both"/>
        <w:rPr>
          <w:lang w:val="en-US"/>
        </w:rPr>
      </w:pPr>
      <w:r>
        <w:rPr>
          <w:lang w:val="en-US"/>
        </w:rPr>
        <w:t xml:space="preserve">To what extent do these productions represent a shift in how the media views female politicians and harassment? Do these narratives of empowerment necessarily involve a process of emancipation from the real events that inspired them, or from traditional storytelling methods? Does the fact that they portray stories of liberation—and that women were involved in their creation—mean they inherently move away from gender roles defined by the "male gaze" </w:t>
      </w:r>
      <w:r>
        <w:rPr>
          <w:lang w:val="en-US"/>
        </w:rPr>
        <w:lastRenderedPageBreak/>
        <w:t>(Mulvey, 1975), the passivity or objectification often linked to female characters, and the tendency for audiences to identify primarily with male protagonists?</w:t>
      </w:r>
    </w:p>
    <w:p w14:paraId="567CAEF2" w14:textId="77777777" w:rsidR="00792349" w:rsidRDefault="00792349">
      <w:pPr>
        <w:widowControl/>
        <w:spacing w:after="80"/>
        <w:ind w:left="426" w:right="370"/>
        <w:jc w:val="both"/>
        <w:rPr>
          <w:lang w:val="en-US"/>
        </w:rPr>
      </w:pPr>
    </w:p>
    <w:p w14:paraId="08504DEA" w14:textId="77777777" w:rsidR="00792349" w:rsidRDefault="00000000">
      <w:pPr>
        <w:pStyle w:val="Ttulo2"/>
        <w:widowControl/>
        <w:rPr>
          <w:lang w:val="en-US"/>
        </w:rPr>
      </w:pPr>
      <w:bookmarkStart w:id="1" w:name="_heading=h.zbb6b472lk1v"/>
      <w:bookmarkEnd w:id="1"/>
      <w:r>
        <w:rPr>
          <w:lang w:val="en-US"/>
        </w:rPr>
        <w:t>2. Objectives and Methodology</w:t>
      </w:r>
    </w:p>
    <w:p w14:paraId="0BC9AEE0" w14:textId="77777777" w:rsidR="00792349" w:rsidRDefault="00000000">
      <w:pPr>
        <w:widowControl/>
        <w:spacing w:after="80"/>
        <w:ind w:left="426" w:right="370"/>
        <w:jc w:val="both"/>
        <w:rPr>
          <w:lang w:val="en-US"/>
        </w:rPr>
      </w:pPr>
      <w:r>
        <w:rPr>
          <w:lang w:val="en-US"/>
        </w:rPr>
        <w:t xml:space="preserve">With two decades of history, </w:t>
      </w:r>
      <w:proofErr w:type="spellStart"/>
      <w:r>
        <w:rPr>
          <w:lang w:val="en-US"/>
        </w:rPr>
        <w:t>Millás’s</w:t>
      </w:r>
      <w:proofErr w:type="spellEnd"/>
      <w:r>
        <w:rPr>
          <w:lang w:val="en-US"/>
        </w:rPr>
        <w:t xml:space="preserve"> work and his chronicles of the "Nevenka case" in </w:t>
      </w:r>
      <w:r>
        <w:rPr>
          <w:i/>
          <w:iCs/>
          <w:lang w:val="en-US"/>
        </w:rPr>
        <w:t>El País</w:t>
      </w:r>
      <w:r>
        <w:rPr>
          <w:lang w:val="en-US"/>
        </w:rPr>
        <w:t xml:space="preserve"> (</w:t>
      </w:r>
      <w:proofErr w:type="spellStart"/>
      <w:r>
        <w:rPr>
          <w:lang w:val="en-US"/>
        </w:rPr>
        <w:t>Cavazzino</w:t>
      </w:r>
      <w:proofErr w:type="spellEnd"/>
      <w:r>
        <w:rPr>
          <w:lang w:val="en-US"/>
        </w:rPr>
        <w:t>, 2024) have sparked numerous studies, both within and outside the broader analysis of the author's literary universe (Fauquet, 2012; Lilic, 2017 and 2023). Naturally, the same cannot yet be said for the recent productions we intend to analyze here.</w:t>
      </w:r>
    </w:p>
    <w:p w14:paraId="534688F0" w14:textId="77777777" w:rsidR="00792349" w:rsidRDefault="00792349">
      <w:pPr>
        <w:widowControl/>
        <w:spacing w:after="80"/>
        <w:ind w:left="426" w:right="370"/>
        <w:jc w:val="both"/>
        <w:rPr>
          <w:lang w:val="en-US"/>
        </w:rPr>
      </w:pPr>
    </w:p>
    <w:p w14:paraId="5400368E" w14:textId="77777777" w:rsidR="00792349" w:rsidRDefault="00000000">
      <w:pPr>
        <w:widowControl/>
        <w:spacing w:after="80"/>
        <w:ind w:left="426" w:right="370"/>
        <w:jc w:val="both"/>
        <w:rPr>
          <w:lang w:val="en-US"/>
        </w:rPr>
      </w:pPr>
      <w:r>
        <w:rPr>
          <w:lang w:val="en-US"/>
        </w:rPr>
        <w:t xml:space="preserve">Audiovisual works do not emerge in a vacuum, nor are they the product of isolated individuals. They are cultural products, born of an industry and designed for consumption. Consequently, we cannot analyze their discourse or the values they convey without considering their production conditions (financing), the creative teams behind them (cast and crew), their promotional strategies, and their distribution outcomes. The data we propose to examine in this regard will help us </w:t>
      </w:r>
      <w:r>
        <w:rPr>
          <w:highlight w:val="magenta"/>
          <w:lang w:val="en-US"/>
        </w:rPr>
        <w:t>to</w:t>
      </w:r>
      <w:r>
        <w:rPr>
          <w:lang w:val="en-US"/>
        </w:rPr>
        <w:t xml:space="preserve"> understand who conceived and created these works, as well as their intended audience.</w:t>
      </w:r>
    </w:p>
    <w:p w14:paraId="2739B77C" w14:textId="77777777" w:rsidR="00792349" w:rsidRDefault="00792349">
      <w:pPr>
        <w:widowControl/>
        <w:spacing w:after="80"/>
        <w:ind w:left="426" w:right="370"/>
        <w:jc w:val="both"/>
        <w:rPr>
          <w:lang w:val="en-US"/>
        </w:rPr>
      </w:pPr>
    </w:p>
    <w:p w14:paraId="6C40D7FA" w14:textId="77777777" w:rsidR="00792349" w:rsidRDefault="00000000">
      <w:pPr>
        <w:widowControl/>
        <w:spacing w:after="80"/>
        <w:ind w:left="426" w:right="370"/>
        <w:jc w:val="both"/>
        <w:rPr>
          <w:lang w:val="en-US"/>
        </w:rPr>
      </w:pPr>
      <w:r>
        <w:rPr>
          <w:lang w:val="en-US"/>
        </w:rPr>
        <w:t>Our aim, therefore, is to establish a dialogue between various production contexts—ranging from the challenges faced by a small local production company compared to a global platform, to the supposedly "safe bet" of an award-winning female director. The horizons of reception (streaming versus theatrical release, fiction versus documentary), as reflected in promotional strategies, will also provide clues about how the creators position themselves relative to the real-life events that inspire them.</w:t>
      </w:r>
    </w:p>
    <w:p w14:paraId="0EAA7A0D" w14:textId="77777777" w:rsidR="00792349" w:rsidRDefault="00792349">
      <w:pPr>
        <w:widowControl/>
        <w:spacing w:after="80"/>
        <w:ind w:left="426" w:right="370"/>
        <w:jc w:val="both"/>
        <w:rPr>
          <w:lang w:val="en-US"/>
        </w:rPr>
      </w:pPr>
    </w:p>
    <w:p w14:paraId="3D18EB50" w14:textId="77777777" w:rsidR="00792349" w:rsidRDefault="00000000">
      <w:pPr>
        <w:widowControl/>
        <w:spacing w:after="80"/>
        <w:ind w:left="426" w:right="370"/>
        <w:jc w:val="both"/>
        <w:rPr>
          <w:lang w:val="en-US"/>
        </w:rPr>
      </w:pPr>
      <w:r>
        <w:rPr>
          <w:lang w:val="en-US"/>
        </w:rPr>
        <w:t>Finally, an analysis of the most striking elements (key scenes, mise-</w:t>
      </w:r>
      <w:proofErr w:type="spellStart"/>
      <w:r>
        <w:rPr>
          <w:lang w:val="en-US"/>
        </w:rPr>
        <w:t>en</w:t>
      </w:r>
      <w:proofErr w:type="spellEnd"/>
      <w:r>
        <w:rPr>
          <w:lang w:val="en-US"/>
        </w:rPr>
        <w:t>-</w:t>
      </w:r>
      <w:proofErr w:type="spellStart"/>
      <w:r>
        <w:rPr>
          <w:lang w:val="en-US"/>
        </w:rPr>
        <w:t>scène</w:t>
      </w:r>
      <w:proofErr w:type="spellEnd"/>
      <w:r>
        <w:rPr>
          <w:lang w:val="en-US"/>
        </w:rPr>
        <w:t xml:space="preserve"> choices) of these three audiovisual texts will allow us to identify innovative formal resources—specifically those that facilitate the deconstruction of harassment mechanisms or express the process of emancipation—in contrast to the persistence of more classical or traditional frameworks.</w:t>
      </w:r>
    </w:p>
    <w:p w14:paraId="00082473" w14:textId="77777777" w:rsidR="00792349" w:rsidRDefault="00792349">
      <w:pPr>
        <w:widowControl/>
        <w:spacing w:after="80"/>
        <w:ind w:left="426" w:right="370"/>
        <w:jc w:val="both"/>
        <w:rPr>
          <w:lang w:val="en-US"/>
        </w:rPr>
      </w:pPr>
    </w:p>
    <w:p w14:paraId="536AEEB9" w14:textId="77777777" w:rsidR="00792349" w:rsidRDefault="00000000">
      <w:pPr>
        <w:widowControl/>
        <w:spacing w:after="80"/>
        <w:ind w:left="426" w:right="370"/>
        <w:jc w:val="both"/>
        <w:rPr>
          <w:lang w:val="en-US"/>
        </w:rPr>
      </w:pPr>
      <w:r>
        <w:rPr>
          <w:lang w:val="en-US"/>
        </w:rPr>
        <w:t>This study will draw on communication tools from production companies, creators, and distributors, as well as the specialized press. This comparative analysis seeks to understand the reasons behind the audiovisual world’s sudden interest in cases that occurred over a decade ago. Furthermore, we will explore the specificities and commonalities of each medium, examining to what extent they contribute to the construction of an image of empowerment and/or sisterhood (</w:t>
      </w:r>
      <w:proofErr w:type="spellStart"/>
      <w:r>
        <w:rPr>
          <w:lang w:val="en-US"/>
        </w:rPr>
        <w:t>sororidad</w:t>
      </w:r>
      <w:proofErr w:type="spellEnd"/>
      <w:r>
        <w:rPr>
          <w:lang w:val="en-US"/>
        </w:rPr>
        <w:t>), and to the renewal of audiovisual creation.</w:t>
      </w:r>
    </w:p>
    <w:p w14:paraId="485509B9" w14:textId="77777777" w:rsidR="00792349" w:rsidRDefault="00792349">
      <w:pPr>
        <w:widowControl/>
        <w:spacing w:after="80"/>
        <w:ind w:left="426" w:right="370"/>
        <w:jc w:val="both"/>
        <w:rPr>
          <w:lang w:val="en-US"/>
        </w:rPr>
      </w:pPr>
    </w:p>
    <w:p w14:paraId="0162CF82" w14:textId="77777777" w:rsidR="00792349" w:rsidRDefault="00792349">
      <w:pPr>
        <w:widowControl/>
        <w:spacing w:after="80"/>
        <w:rPr>
          <w:color w:val="000000"/>
          <w:sz w:val="29"/>
          <w:szCs w:val="29"/>
          <w:lang w:val="en-US"/>
        </w:rPr>
      </w:pPr>
    </w:p>
    <w:p w14:paraId="46BF64C6" w14:textId="77777777" w:rsidR="00792349" w:rsidRDefault="00000000">
      <w:pPr>
        <w:pStyle w:val="Ttulo2"/>
        <w:widowControl/>
        <w:ind w:left="0"/>
        <w:rPr>
          <w:lang w:val="en-US"/>
        </w:rPr>
      </w:pPr>
      <w:bookmarkStart w:id="2" w:name="_heading=h.tccr6e54wgn3"/>
      <w:bookmarkEnd w:id="2"/>
      <w:r>
        <w:rPr>
          <w:lang w:val="en-US"/>
        </w:rPr>
        <w:t>3. Analysis and Results</w:t>
      </w:r>
      <w:bookmarkStart w:id="3" w:name="_heading=h.jzr9rtwl9e4v"/>
    </w:p>
    <w:bookmarkEnd w:id="3"/>
    <w:p w14:paraId="3789E2C3" w14:textId="77777777" w:rsidR="00792349" w:rsidRDefault="00000000">
      <w:pPr>
        <w:pStyle w:val="Ttulo2"/>
        <w:widowControl/>
        <w:ind w:left="0"/>
        <w:rPr>
          <w:b w:val="0"/>
          <w:bCs w:val="0"/>
          <w:i/>
          <w:iCs/>
          <w:color w:val="98361E"/>
          <w:sz w:val="22"/>
          <w:szCs w:val="22"/>
          <w:lang w:val="en-US"/>
        </w:rPr>
      </w:pPr>
      <w:sdt>
        <w:sdtPr>
          <w:tag w:val="goog_rdk_0"/>
          <w:id w:val="2059916169"/>
          <w:text/>
        </w:sdtPr>
        <w:sdtContent>
          <w:r>
            <w:rPr>
              <w:b w:val="0"/>
              <w:bCs w:val="0"/>
              <w:i/>
              <w:iCs/>
              <w:color w:val="98361E"/>
              <w:sz w:val="22"/>
              <w:szCs w:val="22"/>
              <w:lang w:val="en-US"/>
            </w:rPr>
            <w:t>3.1. Production Contexts</w:t>
          </w:r>
        </w:sdtContent>
      </w:sdt>
    </w:p>
    <w:p w14:paraId="3FCD282F" w14:textId="77777777" w:rsidR="00792349" w:rsidRDefault="00000000">
      <w:pPr>
        <w:pStyle w:val="Ttulo1"/>
        <w:widowControl/>
        <w:spacing w:after="80"/>
        <w:ind w:left="709"/>
        <w:rPr>
          <w:rFonts w:ascii="Garamond" w:eastAsia="Garamond" w:hAnsi="Garamond" w:cs="Garamond"/>
          <w:i/>
          <w:iCs/>
          <w:color w:val="98361E"/>
          <w:sz w:val="22"/>
          <w:szCs w:val="22"/>
          <w:lang w:val="en-US"/>
        </w:rPr>
      </w:pPr>
      <w:sdt>
        <w:sdtPr>
          <w:tag w:val="goog_rdk_1"/>
          <w:id w:val="1430574707"/>
          <w:text/>
        </w:sdtPr>
        <w:sdtContent>
          <w:r>
            <w:rPr>
              <w:rFonts w:ascii="Garamond" w:eastAsia="Garamond" w:hAnsi="Garamond" w:cs="Garamond"/>
              <w:i/>
              <w:iCs/>
              <w:color w:val="98361E"/>
              <w:sz w:val="22"/>
              <w:szCs w:val="22"/>
              <w:lang w:val="en-US"/>
            </w:rPr>
            <w:t xml:space="preserve">3.1.1. </w:t>
          </w:r>
          <w:proofErr w:type="spellStart"/>
          <w:r>
            <w:rPr>
              <w:rFonts w:ascii="Garamond" w:eastAsia="Garamond" w:hAnsi="Garamond" w:cs="Garamond"/>
              <w:i/>
              <w:iCs/>
              <w:color w:val="98361E"/>
              <w:sz w:val="22"/>
              <w:szCs w:val="22"/>
              <w:lang w:val="en-US"/>
            </w:rPr>
            <w:t>Intimidad</w:t>
          </w:r>
          <w:proofErr w:type="spellEnd"/>
          <w:r>
            <w:rPr>
              <w:rFonts w:ascii="Garamond" w:eastAsia="Garamond" w:hAnsi="Garamond" w:cs="Garamond"/>
              <w:i/>
              <w:iCs/>
              <w:color w:val="98361E"/>
              <w:sz w:val="22"/>
              <w:szCs w:val="22"/>
              <w:lang w:val="en-US"/>
            </w:rPr>
            <w:t xml:space="preserve"> (Privacy)</w:t>
          </w:r>
        </w:sdtContent>
      </w:sdt>
    </w:p>
    <w:p w14:paraId="3C8B68A5" w14:textId="77777777" w:rsidR="00792349" w:rsidRDefault="00000000">
      <w:pPr>
        <w:pStyle w:val="Ttulo1"/>
        <w:widowControl/>
        <w:spacing w:after="80"/>
        <w:ind w:left="426"/>
        <w:jc w:val="both"/>
        <w:rPr>
          <w:rFonts w:ascii="Garamond" w:eastAsia="Garamond" w:hAnsi="Garamond" w:cs="Garamond"/>
          <w:color w:val="000000"/>
          <w:sz w:val="22"/>
          <w:szCs w:val="22"/>
          <w:lang w:val="en-US"/>
        </w:rPr>
      </w:pPr>
      <w:sdt>
        <w:sdtPr>
          <w:tag w:val="goog_rdk_2"/>
          <w:id w:val="1181203471"/>
          <w:text/>
        </w:sdtPr>
        <w:sdtContent>
          <w:proofErr w:type="spellStart"/>
          <w:r>
            <w:rPr>
              <w:rFonts w:ascii="Garamond" w:eastAsia="Garamond" w:hAnsi="Garamond" w:cs="Garamond"/>
              <w:i/>
              <w:iCs/>
              <w:color w:val="000000"/>
              <w:sz w:val="22"/>
              <w:szCs w:val="22"/>
              <w:lang w:val="en-US"/>
            </w:rPr>
            <w:t>Intimidad</w:t>
          </w:r>
          <w:proofErr w:type="spellEnd"/>
          <w:r>
            <w:rPr>
              <w:rFonts w:ascii="Garamond" w:eastAsia="Garamond" w:hAnsi="Garamond" w:cs="Garamond"/>
              <w:i/>
              <w:iCs/>
              <w:color w:val="000000"/>
              <w:sz w:val="22"/>
              <w:szCs w:val="22"/>
              <w:lang w:val="en-US"/>
            </w:rPr>
            <w:t xml:space="preserve"> </w:t>
          </w:r>
          <w:r>
            <w:rPr>
              <w:rFonts w:ascii="Garamond" w:eastAsia="Garamond" w:hAnsi="Garamond" w:cs="Garamond"/>
              <w:color w:val="000000"/>
              <w:sz w:val="22"/>
              <w:szCs w:val="22"/>
              <w:lang w:val="en-US"/>
            </w:rPr>
            <w:t xml:space="preserve">is a Netflix original creation, produced by </w:t>
          </w:r>
          <w:proofErr w:type="spellStart"/>
          <w:r>
            <w:rPr>
              <w:rFonts w:ascii="Garamond" w:eastAsia="Garamond" w:hAnsi="Garamond" w:cs="Garamond"/>
              <w:color w:val="000000"/>
              <w:sz w:val="22"/>
              <w:szCs w:val="22"/>
              <w:lang w:val="en-US"/>
            </w:rPr>
            <w:t>Txintxua</w:t>
          </w:r>
          <w:proofErr w:type="spellEnd"/>
          <w:r>
            <w:rPr>
              <w:rFonts w:ascii="Garamond" w:eastAsia="Garamond" w:hAnsi="Garamond" w:cs="Garamond"/>
              <w:color w:val="000000"/>
              <w:sz w:val="22"/>
              <w:szCs w:val="22"/>
              <w:lang w:val="en-US"/>
            </w:rPr>
            <w:t xml:space="preserve"> Films—a small production company</w:t>
          </w:r>
          <w:r>
            <w:rPr>
              <w:rStyle w:val="Refdenotaalpie"/>
              <w:rFonts w:ascii="Garamond" w:eastAsia="Garamond" w:hAnsi="Garamond" w:cs="Garamond"/>
              <w:color w:val="000000"/>
              <w:sz w:val="22"/>
              <w:szCs w:val="22"/>
              <w:lang w:val="en-US"/>
            </w:rPr>
            <w:footnoteReference w:id="1"/>
          </w:r>
          <w:r>
            <w:rPr>
              <w:rFonts w:ascii="Garamond" w:eastAsia="Garamond" w:hAnsi="Garamond" w:cs="Garamond"/>
              <w:color w:val="000000"/>
              <w:sz w:val="22"/>
              <w:szCs w:val="22"/>
              <w:lang w:val="en-US"/>
            </w:rPr>
            <w:t xml:space="preserve"> founded in 2008 by Asier Altuna (born 1969), a director and screenwriter with a background in Euskal </w:t>
          </w:r>
          <w:proofErr w:type="spellStart"/>
          <w:r>
            <w:rPr>
              <w:rFonts w:ascii="Garamond" w:eastAsia="Garamond" w:hAnsi="Garamond" w:cs="Garamond"/>
              <w:color w:val="000000"/>
              <w:sz w:val="22"/>
              <w:szCs w:val="22"/>
              <w:lang w:val="en-US"/>
            </w:rPr>
            <w:t>Telebista</w:t>
          </w:r>
          <w:proofErr w:type="spellEnd"/>
          <w:r>
            <w:rPr>
              <w:rFonts w:ascii="Garamond" w:eastAsia="Garamond" w:hAnsi="Garamond" w:cs="Garamond"/>
              <w:color w:val="000000"/>
              <w:sz w:val="22"/>
              <w:szCs w:val="22"/>
              <w:lang w:val="en-US"/>
            </w:rPr>
            <w:t xml:space="preserve"> programs, and producer Marian Fernández Pascal. The script was penned by Verónica Fernández (born 1971) and Laura Sarmiento. V. Fernández is well-known for her screenwriting work on Achero Mañas's film </w:t>
          </w:r>
          <w:r>
            <w:rPr>
              <w:rFonts w:ascii="Garamond" w:eastAsia="Garamond" w:hAnsi="Garamond" w:cs="Garamond"/>
              <w:i/>
              <w:iCs/>
              <w:color w:val="000000"/>
              <w:sz w:val="22"/>
              <w:szCs w:val="22"/>
              <w:highlight w:val="magenta"/>
              <w:lang w:val="en-US"/>
            </w:rPr>
            <w:t>El Bola</w:t>
          </w:r>
          <w:r>
            <w:rPr>
              <w:rFonts w:ascii="Garamond" w:eastAsia="Garamond" w:hAnsi="Garamond" w:cs="Garamond"/>
              <w:color w:val="000000"/>
              <w:sz w:val="22"/>
              <w:szCs w:val="22"/>
              <w:lang w:val="en-US"/>
            </w:rPr>
            <w:t xml:space="preserve"> and the series </w:t>
          </w:r>
          <w:r>
            <w:rPr>
              <w:rFonts w:ascii="Garamond" w:eastAsia="Garamond" w:hAnsi="Garamond" w:cs="Garamond"/>
              <w:i/>
              <w:iCs/>
              <w:color w:val="000000"/>
              <w:sz w:val="22"/>
              <w:szCs w:val="22"/>
              <w:highlight w:val="magenta"/>
              <w:lang w:val="en-US"/>
            </w:rPr>
            <w:t>El Príncipe</w:t>
          </w:r>
          <w:r>
            <w:rPr>
              <w:rFonts w:ascii="Garamond" w:eastAsia="Garamond" w:hAnsi="Garamond" w:cs="Garamond"/>
              <w:color w:val="000000"/>
              <w:sz w:val="22"/>
              <w:szCs w:val="22"/>
              <w:lang w:val="en-US"/>
            </w:rPr>
            <w:t>. In 2019, she was appointed Director of Content for Netflix Spain, with a goal that she herself defines as:</w:t>
          </w:r>
        </w:sdtContent>
      </w:sdt>
    </w:p>
    <w:p w14:paraId="4B3A460D" w14:textId="77777777" w:rsidR="00792349" w:rsidRDefault="00792349">
      <w:pPr>
        <w:pStyle w:val="Ttulo1"/>
        <w:widowControl/>
        <w:spacing w:after="80"/>
        <w:ind w:left="426"/>
        <w:jc w:val="both"/>
        <w:rPr>
          <w:rFonts w:ascii="Garamond" w:eastAsia="Garamond" w:hAnsi="Garamond" w:cs="Garamond"/>
          <w:color w:val="000000"/>
          <w:lang w:val="en-US"/>
        </w:rPr>
      </w:pPr>
    </w:p>
    <w:p w14:paraId="159E3ED6" w14:textId="77777777" w:rsidR="00792349" w:rsidRDefault="00000000">
      <w:pPr>
        <w:widowControl/>
        <w:spacing w:after="80"/>
        <w:ind w:left="1276" w:right="370"/>
        <w:jc w:val="both"/>
        <w:rPr>
          <w:color w:val="9A0203"/>
          <w:sz w:val="16"/>
          <w:szCs w:val="16"/>
          <w:lang w:val="en-US"/>
        </w:rPr>
      </w:pPr>
      <w:r>
        <w:rPr>
          <w:color w:val="9A0203"/>
          <w:sz w:val="16"/>
          <w:szCs w:val="16"/>
          <w:lang w:val="en-US"/>
        </w:rPr>
        <w:t>to ensure that Spanish-language content became world-leading content. [...] We look for what Netflix always seeks: variety in stories, putting creators at the center, and making stories that can be very local. [...] Generalist networks have had their base in Madrid, and this has led to an industry built around the major networks. [...] At Netflix, we have several lines of work regarding this. We are looking for creators elsewhere: we have gone to Galicia, to Seville, and we have also come to Barcelona. We tell them to tell us the stories they want to tell and from wherever they may be. We have never said: 'Come to Madrid because we have a hub with five studios' (</w:t>
      </w:r>
      <w:proofErr w:type="spellStart"/>
      <w:r>
        <w:rPr>
          <w:color w:val="9A0203"/>
          <w:sz w:val="16"/>
          <w:szCs w:val="16"/>
          <w:lang w:val="en-US"/>
        </w:rPr>
        <w:t>Solá</w:t>
      </w:r>
      <w:proofErr w:type="spellEnd"/>
      <w:r>
        <w:rPr>
          <w:color w:val="9A0203"/>
          <w:sz w:val="16"/>
          <w:szCs w:val="16"/>
          <w:lang w:val="en-US"/>
        </w:rPr>
        <w:t xml:space="preserve"> </w:t>
      </w:r>
      <w:proofErr w:type="spellStart"/>
      <w:r>
        <w:rPr>
          <w:color w:val="9A0203"/>
          <w:sz w:val="16"/>
          <w:szCs w:val="16"/>
          <w:lang w:val="en-US"/>
        </w:rPr>
        <w:t>Gimferrer</w:t>
      </w:r>
      <w:proofErr w:type="spellEnd"/>
      <w:r>
        <w:rPr>
          <w:color w:val="9A0203"/>
          <w:sz w:val="16"/>
          <w:szCs w:val="16"/>
          <w:lang w:val="en-US"/>
        </w:rPr>
        <w:t>, 2019)</w:t>
      </w:r>
    </w:p>
    <w:p w14:paraId="72DD509C" w14:textId="77777777" w:rsidR="00792349" w:rsidRDefault="00792349">
      <w:pPr>
        <w:widowControl/>
        <w:spacing w:after="80"/>
        <w:ind w:left="1276" w:right="370"/>
        <w:jc w:val="both"/>
        <w:rPr>
          <w:color w:val="9A0203"/>
          <w:sz w:val="16"/>
          <w:szCs w:val="16"/>
          <w:lang w:val="en-US"/>
        </w:rPr>
      </w:pPr>
    </w:p>
    <w:p w14:paraId="2F6A6BB5" w14:textId="77777777" w:rsidR="00792349" w:rsidRDefault="00000000">
      <w:pPr>
        <w:widowControl/>
        <w:spacing w:after="80"/>
        <w:ind w:left="426" w:right="370"/>
        <w:jc w:val="both"/>
        <w:rPr>
          <w:color w:val="231F20"/>
          <w:sz w:val="20"/>
          <w:szCs w:val="20"/>
          <w:lang w:val="en-US"/>
        </w:rPr>
      </w:pPr>
      <w:r>
        <w:rPr>
          <w:color w:val="231F20"/>
          <w:sz w:val="20"/>
          <w:szCs w:val="20"/>
          <w:lang w:val="en-US"/>
        </w:rPr>
        <w:t xml:space="preserve">As for L. Sarmiento, she has worked on series such as </w:t>
      </w:r>
      <w:proofErr w:type="spellStart"/>
      <w:r>
        <w:rPr>
          <w:i/>
          <w:iCs/>
          <w:color w:val="231F20"/>
          <w:sz w:val="20"/>
          <w:szCs w:val="20"/>
          <w:highlight w:val="magenta"/>
          <w:lang w:val="en-US"/>
        </w:rPr>
        <w:t>Herederos</w:t>
      </w:r>
      <w:proofErr w:type="spellEnd"/>
      <w:r>
        <w:rPr>
          <w:color w:val="231F20"/>
          <w:sz w:val="20"/>
          <w:szCs w:val="20"/>
          <w:lang w:val="en-US"/>
        </w:rPr>
        <w:t xml:space="preserve">, </w:t>
      </w:r>
      <w:r>
        <w:rPr>
          <w:i/>
          <w:iCs/>
          <w:color w:val="231F20"/>
          <w:sz w:val="20"/>
          <w:szCs w:val="20"/>
          <w:highlight w:val="magenta"/>
          <w:lang w:val="en-US"/>
        </w:rPr>
        <w:t xml:space="preserve">14 de </w:t>
      </w:r>
      <w:proofErr w:type="spellStart"/>
      <w:r>
        <w:rPr>
          <w:i/>
          <w:iCs/>
          <w:color w:val="231F20"/>
          <w:sz w:val="20"/>
          <w:szCs w:val="20"/>
          <w:highlight w:val="magenta"/>
          <w:lang w:val="en-US"/>
        </w:rPr>
        <w:t>abril</w:t>
      </w:r>
      <w:proofErr w:type="spellEnd"/>
      <w:r>
        <w:rPr>
          <w:i/>
          <w:iCs/>
          <w:color w:val="231F20"/>
          <w:sz w:val="20"/>
          <w:szCs w:val="20"/>
          <w:highlight w:val="magenta"/>
          <w:lang w:val="en-US"/>
        </w:rPr>
        <w:t>, la República</w:t>
      </w:r>
      <w:r>
        <w:rPr>
          <w:color w:val="231F20"/>
          <w:sz w:val="20"/>
          <w:szCs w:val="20"/>
          <w:lang w:val="en-US"/>
        </w:rPr>
        <w:t xml:space="preserve">, and </w:t>
      </w:r>
      <w:r>
        <w:rPr>
          <w:i/>
          <w:iCs/>
          <w:color w:val="231F20"/>
          <w:sz w:val="20"/>
          <w:szCs w:val="20"/>
          <w:highlight w:val="magenta"/>
          <w:lang w:val="en-US"/>
        </w:rPr>
        <w:t>Isabel</w:t>
      </w:r>
      <w:r>
        <w:rPr>
          <w:color w:val="231F20"/>
          <w:sz w:val="20"/>
          <w:szCs w:val="20"/>
          <w:lang w:val="en-US"/>
        </w:rPr>
        <w:t xml:space="preserve"> (all productions for public television), as well as other Netflix projects (including the 2022 feature film </w:t>
      </w:r>
      <w:r>
        <w:rPr>
          <w:i/>
          <w:iCs/>
          <w:color w:val="231F20"/>
          <w:sz w:val="20"/>
          <w:szCs w:val="20"/>
          <w:highlight w:val="magenta"/>
          <w:lang w:val="en-US"/>
        </w:rPr>
        <w:t xml:space="preserve">La </w:t>
      </w:r>
      <w:proofErr w:type="spellStart"/>
      <w:r>
        <w:rPr>
          <w:i/>
          <w:iCs/>
          <w:color w:val="231F20"/>
          <w:sz w:val="20"/>
          <w:szCs w:val="20"/>
          <w:highlight w:val="magenta"/>
          <w:lang w:val="en-US"/>
        </w:rPr>
        <w:t>jefa</w:t>
      </w:r>
      <w:proofErr w:type="spellEnd"/>
      <w:r>
        <w:rPr>
          <w:color w:val="231F20"/>
          <w:sz w:val="20"/>
          <w:szCs w:val="20"/>
          <w:lang w:val="en-US"/>
        </w:rPr>
        <w:t>). Consequently, both screenwriters already possess extensive experience in writing about social issues, historical contexts, and narratives centered on female protagonists.</w:t>
      </w:r>
    </w:p>
    <w:p w14:paraId="20B2BC1F" w14:textId="77777777" w:rsidR="00792349" w:rsidRDefault="00792349">
      <w:pPr>
        <w:widowControl/>
        <w:spacing w:after="80"/>
        <w:ind w:left="426" w:right="370"/>
        <w:jc w:val="both"/>
        <w:rPr>
          <w:color w:val="231F20"/>
          <w:sz w:val="20"/>
          <w:szCs w:val="20"/>
          <w:lang w:val="en-US"/>
        </w:rPr>
      </w:pPr>
    </w:p>
    <w:p w14:paraId="03E7C20A" w14:textId="77777777" w:rsidR="00792349" w:rsidRDefault="00000000">
      <w:pPr>
        <w:widowControl/>
        <w:spacing w:after="80"/>
        <w:ind w:left="426" w:right="370"/>
        <w:jc w:val="both"/>
        <w:rPr>
          <w:color w:val="231F20"/>
          <w:sz w:val="20"/>
          <w:szCs w:val="20"/>
          <w:lang w:val="en-US"/>
        </w:rPr>
      </w:pPr>
      <w:r>
        <w:rPr>
          <w:color w:val="231F20"/>
          <w:sz w:val="20"/>
          <w:szCs w:val="20"/>
          <w:lang w:val="en-US"/>
        </w:rPr>
        <w:t>The producer is also known for his commitment to promoting the industry at a local level: "We make films from home with the vocation of being seen worldwide," he once stated</w:t>
      </w:r>
      <w:r>
        <w:rPr>
          <w:rStyle w:val="Refdenotaalpie"/>
          <w:color w:val="231F20"/>
          <w:sz w:val="20"/>
          <w:szCs w:val="20"/>
          <w:lang w:val="en-US"/>
        </w:rPr>
        <w:footnoteReference w:id="2"/>
      </w:r>
      <w:r>
        <w:rPr>
          <w:color w:val="231F20"/>
          <w:sz w:val="20"/>
          <w:szCs w:val="20"/>
          <w:lang w:val="en-US"/>
        </w:rPr>
        <w:t>, a sentiment he elaborates on here:</w:t>
      </w:r>
    </w:p>
    <w:p w14:paraId="6D0BA5C3" w14:textId="77777777" w:rsidR="00792349" w:rsidRDefault="00000000">
      <w:pPr>
        <w:widowControl/>
        <w:spacing w:after="80"/>
        <w:ind w:left="1134" w:right="370"/>
        <w:jc w:val="both"/>
        <w:rPr>
          <w:color w:val="9A0203"/>
          <w:sz w:val="16"/>
          <w:szCs w:val="16"/>
          <w:lang w:val="en-US"/>
        </w:rPr>
      </w:pPr>
      <w:r>
        <w:rPr>
          <w:color w:val="9A0203"/>
          <w:sz w:val="16"/>
          <w:szCs w:val="16"/>
          <w:lang w:val="en-US"/>
        </w:rPr>
        <w:t>work is not lacking, and that is very important for all of us. We have managed to get the platforms to come to the Basque Country to film, and that benefits us all. Right now, the craft of filmmaking is seen with future prospects. We can continue inventing stories with the hope of eventually filming them (</w:t>
      </w:r>
      <w:proofErr w:type="spellStart"/>
      <w:r>
        <w:rPr>
          <w:color w:val="9A0203"/>
          <w:sz w:val="16"/>
          <w:szCs w:val="16"/>
          <w:lang w:val="en-US"/>
        </w:rPr>
        <w:t>Lakunza</w:t>
      </w:r>
      <w:proofErr w:type="spellEnd"/>
      <w:r>
        <w:rPr>
          <w:color w:val="9A0203"/>
          <w:sz w:val="16"/>
          <w:szCs w:val="16"/>
          <w:lang w:val="en-US"/>
        </w:rPr>
        <w:t>, 2021).</w:t>
      </w:r>
    </w:p>
    <w:p w14:paraId="72E32984" w14:textId="77777777" w:rsidR="00792349" w:rsidRDefault="00000000">
      <w:pPr>
        <w:widowControl/>
        <w:spacing w:after="80"/>
        <w:ind w:left="426" w:right="370"/>
        <w:jc w:val="both"/>
        <w:rPr>
          <w:color w:val="231F20"/>
          <w:sz w:val="20"/>
          <w:szCs w:val="20"/>
          <w:lang w:val="en-US"/>
        </w:rPr>
      </w:pPr>
      <w:r>
        <w:rPr>
          <w:color w:val="231F20"/>
          <w:sz w:val="20"/>
          <w:szCs w:val="20"/>
          <w:lang w:val="en-US"/>
        </w:rPr>
        <w:t xml:space="preserve">It seems logical, therefore, that the story is set and filmed in Bilbao and its surrounding areas, even though the </w:t>
      </w:r>
      <w:proofErr w:type="spellStart"/>
      <w:r>
        <w:rPr>
          <w:color w:val="231F20"/>
          <w:sz w:val="20"/>
          <w:szCs w:val="20"/>
          <w:lang w:val="en-US"/>
        </w:rPr>
        <w:t>Olvido</w:t>
      </w:r>
      <w:proofErr w:type="spellEnd"/>
      <w:r>
        <w:rPr>
          <w:color w:val="231F20"/>
          <w:sz w:val="20"/>
          <w:szCs w:val="20"/>
          <w:lang w:val="en-US"/>
        </w:rPr>
        <w:t xml:space="preserve"> </w:t>
      </w:r>
      <w:proofErr w:type="spellStart"/>
      <w:r>
        <w:rPr>
          <w:color w:val="231F20"/>
          <w:sz w:val="20"/>
          <w:szCs w:val="20"/>
          <w:lang w:val="en-US"/>
        </w:rPr>
        <w:t>Hormigos</w:t>
      </w:r>
      <w:proofErr w:type="spellEnd"/>
      <w:r>
        <w:rPr>
          <w:color w:val="231F20"/>
          <w:sz w:val="20"/>
          <w:szCs w:val="20"/>
          <w:lang w:val="en-US"/>
        </w:rPr>
        <w:t xml:space="preserve"> case that inspired it (involving a politician who </w:t>
      </w:r>
      <w:r>
        <w:rPr>
          <w:color w:val="231F20"/>
          <w:sz w:val="20"/>
          <w:szCs w:val="20"/>
          <w:lang w:val="en-US"/>
        </w:rPr>
        <w:lastRenderedPageBreak/>
        <w:t>fell victim to the non-consensual distribution of an intimate video in 2012) actually took place in Toledo.</w:t>
      </w:r>
    </w:p>
    <w:p w14:paraId="0FBC9A94" w14:textId="77777777" w:rsidR="00792349" w:rsidRDefault="00792349">
      <w:pPr>
        <w:widowControl/>
        <w:spacing w:after="80"/>
        <w:ind w:left="426" w:right="370"/>
        <w:jc w:val="both"/>
        <w:rPr>
          <w:color w:val="231F20"/>
          <w:sz w:val="20"/>
          <w:szCs w:val="20"/>
          <w:lang w:val="en-US"/>
        </w:rPr>
      </w:pPr>
    </w:p>
    <w:p w14:paraId="5182C95A" w14:textId="77777777" w:rsidR="00792349" w:rsidRDefault="00000000">
      <w:pPr>
        <w:widowControl/>
        <w:spacing w:after="80"/>
        <w:ind w:left="426" w:right="370"/>
        <w:jc w:val="both"/>
        <w:rPr>
          <w:color w:val="231F20"/>
          <w:sz w:val="20"/>
          <w:szCs w:val="20"/>
          <w:lang w:val="en-US"/>
        </w:rPr>
      </w:pPr>
      <w:r>
        <w:rPr>
          <w:color w:val="231F20"/>
          <w:sz w:val="20"/>
          <w:szCs w:val="20"/>
          <w:lang w:val="en-US"/>
        </w:rPr>
        <w:t>The Iveco case serves as inspiration for a parallel plotline in the same series: in 2019, a worker at the Iveco factory suffered the leak of an intimate video, which was then mass-distributed by her colleagues—numbering some 2,500 employees—ultimately leading her to take her own life. Despite an investigation being launched, no one was ever convicted. Similarly, this case did not occur in the Basque Country, but in Alcalá de Henares (Madrid). Relocating the action thus reflects a specific production and distribution choice, but it also offers narrative possibilities that the story exploits, as we shall see.</w:t>
      </w:r>
    </w:p>
    <w:p w14:paraId="21735445" w14:textId="77777777" w:rsidR="00792349" w:rsidRDefault="00792349">
      <w:pPr>
        <w:widowControl/>
        <w:spacing w:after="80"/>
        <w:ind w:left="426" w:right="370"/>
        <w:jc w:val="both"/>
        <w:rPr>
          <w:color w:val="231F20"/>
          <w:sz w:val="20"/>
          <w:szCs w:val="20"/>
          <w:lang w:val="en-US"/>
        </w:rPr>
      </w:pPr>
    </w:p>
    <w:p w14:paraId="607494FC" w14:textId="77777777" w:rsidR="00792349" w:rsidRDefault="00000000">
      <w:pPr>
        <w:widowControl/>
        <w:spacing w:after="80"/>
        <w:ind w:left="426" w:right="370"/>
        <w:jc w:val="both"/>
        <w:rPr>
          <w:color w:val="231F20"/>
          <w:sz w:val="20"/>
          <w:szCs w:val="20"/>
          <w:lang w:val="en-US"/>
        </w:rPr>
      </w:pPr>
      <w:r>
        <w:rPr>
          <w:color w:val="231F20"/>
          <w:sz w:val="20"/>
          <w:szCs w:val="20"/>
          <w:lang w:val="en-US"/>
        </w:rPr>
        <w:t>The first and, to date, only season consists of eight episodes directed successively by Jorge Torregrossa, Ben Gutteridge, Marta Font, and Koldo Almandoz. The presence of multiple directors—the reasons for which remain unknown—does not compromise the series' stylistic coherence, an identity that remains palpable from the writing through to the location scouting and casting. The fact that Jorge Torregrossa directed both the first two and the final two episodes undoubtedly helps ensure this formal consistency.</w:t>
      </w:r>
    </w:p>
    <w:p w14:paraId="7384710B" w14:textId="77777777" w:rsidR="00792349" w:rsidRDefault="00792349">
      <w:pPr>
        <w:widowControl/>
        <w:spacing w:after="80"/>
        <w:ind w:left="426" w:right="370"/>
        <w:jc w:val="both"/>
        <w:rPr>
          <w:color w:val="231F20"/>
          <w:sz w:val="20"/>
          <w:szCs w:val="20"/>
          <w:lang w:val="en-US"/>
        </w:rPr>
      </w:pPr>
    </w:p>
    <w:p w14:paraId="3AF1A99C" w14:textId="77777777" w:rsidR="00792349" w:rsidRDefault="00000000">
      <w:pPr>
        <w:widowControl/>
        <w:spacing w:after="80"/>
        <w:ind w:left="426" w:right="370"/>
        <w:jc w:val="both"/>
        <w:rPr>
          <w:i/>
          <w:iCs/>
          <w:color w:val="9A0203"/>
          <w:sz w:val="20"/>
          <w:szCs w:val="20"/>
          <w:lang w:val="en-US"/>
        </w:rPr>
      </w:pPr>
      <w:r>
        <w:rPr>
          <w:i/>
          <w:iCs/>
          <w:color w:val="9A0203"/>
          <w:sz w:val="20"/>
          <w:szCs w:val="20"/>
          <w:lang w:val="en-US"/>
        </w:rPr>
        <w:t>3.1.2. Nevenka</w:t>
      </w:r>
    </w:p>
    <w:p w14:paraId="64048DD3" w14:textId="77777777" w:rsidR="00792349" w:rsidRDefault="00000000">
      <w:pPr>
        <w:widowControl/>
        <w:spacing w:after="80"/>
        <w:ind w:left="426" w:right="370"/>
        <w:jc w:val="both"/>
        <w:rPr>
          <w:color w:val="231F20"/>
          <w:sz w:val="20"/>
          <w:szCs w:val="20"/>
          <w:lang w:val="en-US"/>
        </w:rPr>
      </w:pPr>
      <w:r>
        <w:rPr>
          <w:i/>
          <w:iCs/>
          <w:color w:val="231F20"/>
          <w:sz w:val="20"/>
          <w:szCs w:val="20"/>
          <w:lang w:val="en-US"/>
        </w:rPr>
        <w:t xml:space="preserve">Nevenka </w:t>
      </w:r>
      <w:r>
        <w:rPr>
          <w:color w:val="231F20"/>
          <w:sz w:val="20"/>
          <w:szCs w:val="20"/>
          <w:lang w:val="en-US"/>
        </w:rPr>
        <w:t xml:space="preserve">is a Netflix original creation produced by </w:t>
      </w:r>
      <w:proofErr w:type="spellStart"/>
      <w:r>
        <w:rPr>
          <w:color w:val="231F20"/>
          <w:sz w:val="20"/>
          <w:szCs w:val="20"/>
          <w:lang w:val="en-US"/>
        </w:rPr>
        <w:t>Newtral</w:t>
      </w:r>
      <w:proofErr w:type="spellEnd"/>
      <w:r>
        <w:rPr>
          <w:color w:val="231F20"/>
          <w:sz w:val="20"/>
          <w:szCs w:val="20"/>
          <w:lang w:val="en-US"/>
        </w:rPr>
        <w:t xml:space="preserve">. Founded in 2018 by journalist Ana Pastor (born 1977), the company specializes in political fact-checking and, to date, has only produced two documentaries: </w:t>
      </w:r>
      <w:r>
        <w:rPr>
          <w:i/>
          <w:iCs/>
          <w:color w:val="231F20"/>
          <w:sz w:val="20"/>
          <w:szCs w:val="20"/>
          <w:lang w:val="en-US"/>
        </w:rPr>
        <w:t xml:space="preserve">Nevenka </w:t>
      </w:r>
      <w:r>
        <w:rPr>
          <w:color w:val="231F20"/>
          <w:sz w:val="20"/>
          <w:szCs w:val="20"/>
          <w:lang w:val="en-US"/>
        </w:rPr>
        <w:t xml:space="preserve">and </w:t>
      </w:r>
      <w:r>
        <w:rPr>
          <w:i/>
          <w:iCs/>
          <w:color w:val="231F20"/>
          <w:sz w:val="20"/>
          <w:szCs w:val="20"/>
          <w:lang w:val="en-US"/>
        </w:rPr>
        <w:t xml:space="preserve">Un </w:t>
      </w:r>
      <w:proofErr w:type="spellStart"/>
      <w:r>
        <w:rPr>
          <w:i/>
          <w:iCs/>
          <w:color w:val="231F20"/>
          <w:sz w:val="20"/>
          <w:szCs w:val="20"/>
          <w:lang w:val="en-US"/>
        </w:rPr>
        <w:t>sueño</w:t>
      </w:r>
      <w:proofErr w:type="spellEnd"/>
      <w:r>
        <w:rPr>
          <w:i/>
          <w:iCs/>
          <w:color w:val="231F20"/>
          <w:sz w:val="20"/>
          <w:szCs w:val="20"/>
          <w:lang w:val="en-US"/>
        </w:rPr>
        <w:t xml:space="preserve"> real </w:t>
      </w:r>
      <w:r>
        <w:rPr>
          <w:color w:val="231F20"/>
          <w:sz w:val="20"/>
          <w:szCs w:val="20"/>
          <w:lang w:val="en-US"/>
        </w:rPr>
        <w:t>(HBO, 2020), which focuses on a women's football team. It is particularly striking that this documentary—which denounces not only a case of political harassment but also the media's treatment of the victim—is the result of journalistic work that positions itself as an alternative, educational, and investigative approach centered on the medium and long term.</w:t>
      </w:r>
    </w:p>
    <w:p w14:paraId="1DC1D4C9" w14:textId="77777777" w:rsidR="00792349" w:rsidRDefault="00792349">
      <w:pPr>
        <w:widowControl/>
        <w:spacing w:after="80"/>
        <w:ind w:left="426" w:right="370"/>
        <w:jc w:val="both"/>
        <w:rPr>
          <w:color w:val="231F20"/>
          <w:sz w:val="20"/>
          <w:szCs w:val="20"/>
          <w:lang w:val="en-US"/>
        </w:rPr>
      </w:pPr>
    </w:p>
    <w:p w14:paraId="300CE389" w14:textId="77777777" w:rsidR="00792349" w:rsidRDefault="00000000">
      <w:pPr>
        <w:widowControl/>
        <w:spacing w:after="80"/>
        <w:ind w:left="426" w:right="370"/>
        <w:jc w:val="both"/>
        <w:rPr>
          <w:color w:val="231F20"/>
          <w:sz w:val="20"/>
          <w:szCs w:val="20"/>
          <w:lang w:val="en-US"/>
        </w:rPr>
      </w:pPr>
      <w:r>
        <w:rPr>
          <w:color w:val="231F20"/>
          <w:sz w:val="20"/>
          <w:szCs w:val="20"/>
          <w:lang w:val="en-US"/>
        </w:rPr>
        <w:t xml:space="preserve">The director of this docuseries is Maribel Sánchez-Maroto (born 1964), a journalist who previously worked at TVE—where she served as deputy director of Informe </w:t>
      </w:r>
      <w:proofErr w:type="spellStart"/>
      <w:r>
        <w:rPr>
          <w:color w:val="231F20"/>
          <w:sz w:val="20"/>
          <w:szCs w:val="20"/>
          <w:lang w:val="en-US"/>
        </w:rPr>
        <w:t>Semanal</w:t>
      </w:r>
      <w:proofErr w:type="spellEnd"/>
      <w:r>
        <w:rPr>
          <w:color w:val="231F20"/>
          <w:sz w:val="20"/>
          <w:szCs w:val="20"/>
          <w:lang w:val="en-US"/>
        </w:rPr>
        <w:t xml:space="preserve"> before moving to </w:t>
      </w:r>
      <w:proofErr w:type="spellStart"/>
      <w:r>
        <w:rPr>
          <w:color w:val="231F20"/>
          <w:sz w:val="20"/>
          <w:szCs w:val="20"/>
          <w:lang w:val="en-US"/>
        </w:rPr>
        <w:t>Newtral</w:t>
      </w:r>
      <w:proofErr w:type="spellEnd"/>
      <w:r>
        <w:rPr>
          <w:color w:val="231F20"/>
          <w:sz w:val="20"/>
          <w:szCs w:val="20"/>
          <w:lang w:val="en-US"/>
        </w:rPr>
        <w:t xml:space="preserve">. The script was written by Marisa Lafuente (known for </w:t>
      </w:r>
      <w:r>
        <w:rPr>
          <w:i/>
          <w:iCs/>
          <w:color w:val="231F20"/>
          <w:sz w:val="20"/>
          <w:szCs w:val="20"/>
          <w:lang w:val="en-US"/>
        </w:rPr>
        <w:t xml:space="preserve">Franco: </w:t>
      </w:r>
      <w:proofErr w:type="spellStart"/>
      <w:r>
        <w:rPr>
          <w:i/>
          <w:iCs/>
          <w:color w:val="231F20"/>
          <w:sz w:val="20"/>
          <w:szCs w:val="20"/>
          <w:lang w:val="en-US"/>
        </w:rPr>
        <w:t>último</w:t>
      </w:r>
      <w:proofErr w:type="spellEnd"/>
      <w:r>
        <w:rPr>
          <w:i/>
          <w:iCs/>
          <w:color w:val="231F20"/>
          <w:sz w:val="20"/>
          <w:szCs w:val="20"/>
          <w:lang w:val="en-US"/>
        </w:rPr>
        <w:t xml:space="preserve"> </w:t>
      </w:r>
      <w:proofErr w:type="spellStart"/>
      <w:r>
        <w:rPr>
          <w:i/>
          <w:iCs/>
          <w:color w:val="231F20"/>
          <w:sz w:val="20"/>
          <w:szCs w:val="20"/>
          <w:lang w:val="en-US"/>
        </w:rPr>
        <w:t>destino</w:t>
      </w:r>
      <w:proofErr w:type="spellEnd"/>
      <w:r>
        <w:rPr>
          <w:color w:val="231F20"/>
          <w:sz w:val="20"/>
          <w:szCs w:val="20"/>
          <w:lang w:val="en-US"/>
        </w:rPr>
        <w:t xml:space="preserve">, </w:t>
      </w:r>
      <w:proofErr w:type="spellStart"/>
      <w:r>
        <w:rPr>
          <w:color w:val="231F20"/>
          <w:sz w:val="20"/>
          <w:szCs w:val="20"/>
          <w:lang w:val="en-US"/>
        </w:rPr>
        <w:t>Telemadrid</w:t>
      </w:r>
      <w:proofErr w:type="spellEnd"/>
      <w:r>
        <w:rPr>
          <w:color w:val="231F20"/>
          <w:sz w:val="20"/>
          <w:szCs w:val="20"/>
          <w:lang w:val="en-US"/>
        </w:rPr>
        <w:t xml:space="preserve">, 2019, and </w:t>
      </w:r>
      <w:r>
        <w:rPr>
          <w:i/>
          <w:iCs/>
          <w:color w:val="231F20"/>
          <w:sz w:val="20"/>
          <w:szCs w:val="20"/>
          <w:lang w:val="en-US"/>
        </w:rPr>
        <w:t xml:space="preserve">Los </w:t>
      </w:r>
      <w:proofErr w:type="spellStart"/>
      <w:r>
        <w:rPr>
          <w:i/>
          <w:iCs/>
          <w:color w:val="231F20"/>
          <w:sz w:val="20"/>
          <w:szCs w:val="20"/>
          <w:lang w:val="en-US"/>
        </w:rPr>
        <w:t>Borbones</w:t>
      </w:r>
      <w:proofErr w:type="spellEnd"/>
      <w:r>
        <w:rPr>
          <w:i/>
          <w:iCs/>
          <w:color w:val="231F20"/>
          <w:sz w:val="20"/>
          <w:szCs w:val="20"/>
          <w:lang w:val="en-US"/>
        </w:rPr>
        <w:t xml:space="preserve">: </w:t>
      </w:r>
      <w:proofErr w:type="spellStart"/>
      <w:r>
        <w:rPr>
          <w:i/>
          <w:iCs/>
          <w:color w:val="231F20"/>
          <w:sz w:val="20"/>
          <w:szCs w:val="20"/>
          <w:lang w:val="en-US"/>
        </w:rPr>
        <w:t>una</w:t>
      </w:r>
      <w:proofErr w:type="spellEnd"/>
      <w:r>
        <w:rPr>
          <w:i/>
          <w:iCs/>
          <w:color w:val="231F20"/>
          <w:sz w:val="20"/>
          <w:szCs w:val="20"/>
          <w:lang w:val="en-US"/>
        </w:rPr>
        <w:t xml:space="preserve"> familia real</w:t>
      </w:r>
      <w:r>
        <w:rPr>
          <w:color w:val="231F20"/>
          <w:sz w:val="20"/>
          <w:szCs w:val="20"/>
          <w:lang w:val="en-US"/>
        </w:rPr>
        <w:t xml:space="preserve">, </w:t>
      </w:r>
      <w:proofErr w:type="spellStart"/>
      <w:r>
        <w:rPr>
          <w:color w:val="231F20"/>
          <w:sz w:val="20"/>
          <w:szCs w:val="20"/>
          <w:lang w:val="en-US"/>
        </w:rPr>
        <w:t>AtresPlayer</w:t>
      </w:r>
      <w:proofErr w:type="spellEnd"/>
      <w:r>
        <w:rPr>
          <w:color w:val="231F20"/>
          <w:sz w:val="20"/>
          <w:szCs w:val="20"/>
          <w:lang w:val="en-US"/>
        </w:rPr>
        <w:t>, 2022) with the objective that:</w:t>
      </w:r>
    </w:p>
    <w:p w14:paraId="7981C14D" w14:textId="77777777" w:rsidR="00792349" w:rsidRDefault="00792349">
      <w:pPr>
        <w:widowControl/>
        <w:spacing w:after="80"/>
        <w:ind w:left="426" w:right="370"/>
        <w:jc w:val="both"/>
        <w:rPr>
          <w:color w:val="231F20"/>
          <w:sz w:val="20"/>
          <w:szCs w:val="20"/>
          <w:lang w:val="en-US"/>
        </w:rPr>
      </w:pPr>
    </w:p>
    <w:p w14:paraId="01E1B291" w14:textId="77777777" w:rsidR="00792349" w:rsidRDefault="00000000">
      <w:pPr>
        <w:widowControl/>
        <w:spacing w:after="80"/>
        <w:ind w:left="1134" w:right="370"/>
        <w:jc w:val="both"/>
        <w:rPr>
          <w:color w:val="9A0203"/>
          <w:sz w:val="16"/>
          <w:szCs w:val="16"/>
          <w:lang w:val="en-US"/>
        </w:rPr>
      </w:pPr>
      <w:r>
        <w:rPr>
          <w:color w:val="9A0203"/>
          <w:sz w:val="16"/>
          <w:szCs w:val="16"/>
          <w:lang w:val="en-US"/>
        </w:rPr>
        <w:t>the society that rejected [Nevenka] reflects and recognizes her as what she always was: a victim of legitimized chauvinism. With this, 'Nevenka feels repaired today', Lafuente explains, concluding that 'this is why social protest cinema is so important, because a well-told story can restore the truth' ("</w:t>
      </w:r>
      <w:proofErr w:type="spellStart"/>
      <w:r>
        <w:rPr>
          <w:color w:val="9A0203"/>
          <w:sz w:val="16"/>
          <w:szCs w:val="16"/>
          <w:lang w:val="en-US"/>
        </w:rPr>
        <w:t>Cómplices</w:t>
      </w:r>
      <w:proofErr w:type="spellEnd"/>
      <w:r>
        <w:rPr>
          <w:color w:val="9A0203"/>
          <w:sz w:val="16"/>
          <w:szCs w:val="16"/>
          <w:lang w:val="en-US"/>
        </w:rPr>
        <w:t>...", 2022)</w:t>
      </w:r>
    </w:p>
    <w:p w14:paraId="4A8C2770" w14:textId="77777777" w:rsidR="00792349" w:rsidRDefault="00792349">
      <w:pPr>
        <w:widowControl/>
        <w:spacing w:after="80"/>
        <w:ind w:left="1134" w:right="370"/>
        <w:jc w:val="both"/>
        <w:rPr>
          <w:color w:val="9A0203"/>
          <w:sz w:val="16"/>
          <w:szCs w:val="16"/>
          <w:lang w:val="en-US"/>
        </w:rPr>
      </w:pPr>
    </w:p>
    <w:p w14:paraId="7DD1C775" w14:textId="77777777" w:rsidR="00792349" w:rsidRDefault="00000000">
      <w:pPr>
        <w:widowControl/>
        <w:spacing w:after="80"/>
        <w:ind w:left="426" w:right="370"/>
        <w:jc w:val="both"/>
        <w:rPr>
          <w:lang w:val="en-US"/>
        </w:rPr>
      </w:pPr>
      <w:r>
        <w:rPr>
          <w:lang w:val="en-US"/>
        </w:rPr>
        <w:t>In this case, the writing, direction, and overall creation are the work of women driven by a clear determination to deconstruct media discourse and rehabilitate the image of a victim of sexism—one that is not merely individual, but systemic and social in nature.</w:t>
      </w:r>
    </w:p>
    <w:p w14:paraId="73DDC731" w14:textId="77777777" w:rsidR="00792349" w:rsidRDefault="00792349">
      <w:pPr>
        <w:widowControl/>
        <w:spacing w:after="80"/>
        <w:ind w:left="426" w:right="370"/>
        <w:jc w:val="both"/>
        <w:rPr>
          <w:lang w:val="en-US"/>
        </w:rPr>
      </w:pPr>
    </w:p>
    <w:p w14:paraId="1E2F8E07" w14:textId="77777777" w:rsidR="00792349" w:rsidRDefault="00000000">
      <w:pPr>
        <w:widowControl/>
        <w:spacing w:after="80"/>
        <w:ind w:left="426" w:right="370"/>
        <w:jc w:val="both"/>
        <w:rPr>
          <w:i/>
          <w:iCs/>
          <w:color w:val="9A0203"/>
          <w:lang w:val="en-US"/>
        </w:rPr>
      </w:pPr>
      <w:r>
        <w:rPr>
          <w:i/>
          <w:iCs/>
          <w:color w:val="9A0203"/>
          <w:lang w:val="en-US"/>
        </w:rPr>
        <w:t>3.1.3. Soy Nevenka (I am Nevenka)</w:t>
      </w:r>
    </w:p>
    <w:p w14:paraId="21685353" w14:textId="77777777" w:rsidR="00792349" w:rsidRDefault="00000000">
      <w:pPr>
        <w:widowControl/>
        <w:spacing w:after="80"/>
        <w:ind w:left="426" w:right="370"/>
        <w:jc w:val="both"/>
        <w:rPr>
          <w:lang w:val="en-US"/>
        </w:rPr>
      </w:pPr>
      <w:r>
        <w:rPr>
          <w:lang w:val="en-US"/>
        </w:rPr>
        <w:lastRenderedPageBreak/>
        <w:t xml:space="preserve">As for </w:t>
      </w:r>
      <w:proofErr w:type="spellStart"/>
      <w:r>
        <w:rPr>
          <w:lang w:val="en-US"/>
        </w:rPr>
        <w:t>Icíar</w:t>
      </w:r>
      <w:proofErr w:type="spellEnd"/>
      <w:r>
        <w:rPr>
          <w:lang w:val="en-US"/>
        </w:rPr>
        <w:t xml:space="preserve"> </w:t>
      </w:r>
      <w:proofErr w:type="spellStart"/>
      <w:r>
        <w:rPr>
          <w:lang w:val="en-US"/>
        </w:rPr>
        <w:t>Bollaín’s</w:t>
      </w:r>
      <w:proofErr w:type="spellEnd"/>
      <w:r>
        <w:rPr>
          <w:lang w:val="en-US"/>
        </w:rPr>
        <w:t xml:space="preserve"> film </w:t>
      </w:r>
      <w:r>
        <w:rPr>
          <w:i/>
          <w:iCs/>
          <w:lang w:val="en-US"/>
        </w:rPr>
        <w:t>Soy Nevenka</w:t>
      </w:r>
      <w:r>
        <w:rPr>
          <w:lang w:val="en-US"/>
        </w:rPr>
        <w:t xml:space="preserve">, the credits explicitly acknowledge its inspiration from Juan José Millás’s literary account, </w:t>
      </w:r>
      <w:r>
        <w:rPr>
          <w:i/>
          <w:iCs/>
          <w:lang w:val="en-US"/>
        </w:rPr>
        <w:t xml:space="preserve">Hay algo que no es </w:t>
      </w:r>
      <w:proofErr w:type="spellStart"/>
      <w:r>
        <w:rPr>
          <w:i/>
          <w:iCs/>
          <w:lang w:val="en-US"/>
        </w:rPr>
        <w:t>como</w:t>
      </w:r>
      <w:proofErr w:type="spellEnd"/>
      <w:r>
        <w:rPr>
          <w:i/>
          <w:iCs/>
          <w:lang w:val="en-US"/>
        </w:rPr>
        <w:t xml:space="preserve"> me </w:t>
      </w:r>
      <w:proofErr w:type="spellStart"/>
      <w:r>
        <w:rPr>
          <w:i/>
          <w:iCs/>
          <w:lang w:val="en-US"/>
        </w:rPr>
        <w:t>dicen</w:t>
      </w:r>
      <w:proofErr w:type="spellEnd"/>
      <w:r>
        <w:rPr>
          <w:i/>
          <w:iCs/>
          <w:lang w:val="en-US"/>
        </w:rPr>
        <w:t xml:space="preserve">: El </w:t>
      </w:r>
      <w:proofErr w:type="spellStart"/>
      <w:r>
        <w:rPr>
          <w:i/>
          <w:iCs/>
          <w:lang w:val="en-US"/>
        </w:rPr>
        <w:t>caso</w:t>
      </w:r>
      <w:proofErr w:type="spellEnd"/>
      <w:r>
        <w:rPr>
          <w:i/>
          <w:iCs/>
          <w:lang w:val="en-US"/>
        </w:rPr>
        <w:t xml:space="preserve"> de Nevenka Fernández contra la </w:t>
      </w:r>
      <w:proofErr w:type="spellStart"/>
      <w:r>
        <w:rPr>
          <w:i/>
          <w:iCs/>
          <w:lang w:val="en-US"/>
        </w:rPr>
        <w:t>realidad</w:t>
      </w:r>
      <w:proofErr w:type="spellEnd"/>
      <w:r>
        <w:rPr>
          <w:lang w:val="en-US"/>
        </w:rPr>
        <w:t xml:space="preserve"> (2004), and Nevenka Fernández’s own testimony, </w:t>
      </w:r>
      <w:r>
        <w:rPr>
          <w:i/>
          <w:iCs/>
          <w:lang w:val="en-US"/>
        </w:rPr>
        <w:t xml:space="preserve">El </w:t>
      </w:r>
      <w:proofErr w:type="spellStart"/>
      <w:r>
        <w:rPr>
          <w:i/>
          <w:iCs/>
          <w:lang w:val="en-US"/>
        </w:rPr>
        <w:t>poder</w:t>
      </w:r>
      <w:proofErr w:type="spellEnd"/>
      <w:r>
        <w:rPr>
          <w:i/>
          <w:iCs/>
          <w:lang w:val="en-US"/>
        </w:rPr>
        <w:t xml:space="preserve"> de la </w:t>
      </w:r>
      <w:proofErr w:type="spellStart"/>
      <w:r>
        <w:rPr>
          <w:i/>
          <w:iCs/>
          <w:lang w:val="en-US"/>
        </w:rPr>
        <w:t>verdad</w:t>
      </w:r>
      <w:proofErr w:type="spellEnd"/>
      <w:r>
        <w:rPr>
          <w:lang w:val="en-US"/>
        </w:rPr>
        <w:t xml:space="preserve">. Although this inspiration is only mentioned in an interview with co-producer Koldo Zuazua (AV451, 2024) and not by the director herself, the influence of the Netflix documentary—which drew from the same sources—is evident. This is perceptible in </w:t>
      </w:r>
      <w:proofErr w:type="spellStart"/>
      <w:r>
        <w:rPr>
          <w:lang w:val="en-US"/>
        </w:rPr>
        <w:t>Bollaín’s</w:t>
      </w:r>
      <w:proofErr w:type="spellEnd"/>
      <w:r>
        <w:rPr>
          <w:lang w:val="en-US"/>
        </w:rPr>
        <w:t xml:space="preserve"> film through the selection of television archives and even the final image of Nevenka walking along an English beach.</w:t>
      </w:r>
    </w:p>
    <w:p w14:paraId="3A515425" w14:textId="77777777" w:rsidR="00792349" w:rsidRDefault="00792349">
      <w:pPr>
        <w:widowControl/>
        <w:spacing w:after="80"/>
        <w:ind w:left="426" w:right="370"/>
        <w:jc w:val="both"/>
        <w:rPr>
          <w:lang w:val="en-US"/>
        </w:rPr>
      </w:pPr>
    </w:p>
    <w:p w14:paraId="5D15E3BC" w14:textId="77777777" w:rsidR="00792349" w:rsidRDefault="00000000">
      <w:pPr>
        <w:widowControl/>
        <w:spacing w:after="80"/>
        <w:ind w:left="426" w:right="370"/>
        <w:jc w:val="both"/>
        <w:rPr>
          <w:lang w:val="en-US"/>
        </w:rPr>
      </w:pPr>
      <w:r>
        <w:rPr>
          <w:lang w:val="en-US"/>
        </w:rPr>
        <w:t>Furthermore, the director boasts a well-established career in fiction films that showcase her social concerns (</w:t>
      </w:r>
      <w:r>
        <w:rPr>
          <w:i/>
          <w:iCs/>
          <w:lang w:val="en-US"/>
        </w:rPr>
        <w:t xml:space="preserve">Flores de </w:t>
      </w:r>
      <w:proofErr w:type="spellStart"/>
      <w:r>
        <w:rPr>
          <w:i/>
          <w:iCs/>
          <w:lang w:val="en-US"/>
        </w:rPr>
        <w:t>otro</w:t>
      </w:r>
      <w:proofErr w:type="spellEnd"/>
      <w:r>
        <w:rPr>
          <w:i/>
          <w:iCs/>
          <w:lang w:val="en-US"/>
        </w:rPr>
        <w:t xml:space="preserve"> </w:t>
      </w:r>
      <w:proofErr w:type="spellStart"/>
      <w:r>
        <w:rPr>
          <w:i/>
          <w:iCs/>
          <w:lang w:val="en-US"/>
        </w:rPr>
        <w:t>mundo</w:t>
      </w:r>
      <w:proofErr w:type="spellEnd"/>
      <w:r>
        <w:rPr>
          <w:lang w:val="en-US"/>
        </w:rPr>
        <w:t xml:space="preserve">, </w:t>
      </w:r>
      <w:proofErr w:type="spellStart"/>
      <w:r>
        <w:rPr>
          <w:i/>
          <w:iCs/>
          <w:lang w:val="en-US"/>
        </w:rPr>
        <w:t>Te</w:t>
      </w:r>
      <w:proofErr w:type="spellEnd"/>
      <w:r>
        <w:rPr>
          <w:i/>
          <w:iCs/>
          <w:lang w:val="en-US"/>
        </w:rPr>
        <w:t xml:space="preserve"> </w:t>
      </w:r>
      <w:proofErr w:type="spellStart"/>
      <w:r>
        <w:rPr>
          <w:i/>
          <w:iCs/>
          <w:lang w:val="en-US"/>
        </w:rPr>
        <w:t>doy</w:t>
      </w:r>
      <w:proofErr w:type="spellEnd"/>
      <w:r>
        <w:rPr>
          <w:i/>
          <w:iCs/>
          <w:lang w:val="en-US"/>
        </w:rPr>
        <w:t xml:space="preserve"> mis </w:t>
      </w:r>
      <w:proofErr w:type="spellStart"/>
      <w:r>
        <w:rPr>
          <w:i/>
          <w:iCs/>
          <w:lang w:val="en-US"/>
        </w:rPr>
        <w:t>ojos</w:t>
      </w:r>
      <w:proofErr w:type="spellEnd"/>
      <w:r>
        <w:rPr>
          <w:lang w:val="en-US"/>
        </w:rPr>
        <w:t xml:space="preserve">, </w:t>
      </w:r>
      <w:proofErr w:type="spellStart"/>
      <w:r>
        <w:rPr>
          <w:i/>
          <w:iCs/>
          <w:lang w:val="en-US"/>
        </w:rPr>
        <w:t>También</w:t>
      </w:r>
      <w:proofErr w:type="spellEnd"/>
      <w:r>
        <w:rPr>
          <w:i/>
          <w:iCs/>
          <w:lang w:val="en-US"/>
        </w:rPr>
        <w:t xml:space="preserve"> la </w:t>
      </w:r>
      <w:proofErr w:type="spellStart"/>
      <w:r>
        <w:rPr>
          <w:i/>
          <w:iCs/>
          <w:lang w:val="en-US"/>
        </w:rPr>
        <w:t>lluvia</w:t>
      </w:r>
      <w:proofErr w:type="spellEnd"/>
      <w:r>
        <w:rPr>
          <w:lang w:val="en-US"/>
        </w:rPr>
        <w:t xml:space="preserve">, </w:t>
      </w:r>
      <w:r>
        <w:rPr>
          <w:i/>
          <w:iCs/>
          <w:lang w:val="en-US"/>
        </w:rPr>
        <w:t xml:space="preserve">El </w:t>
      </w:r>
      <w:proofErr w:type="spellStart"/>
      <w:r>
        <w:rPr>
          <w:i/>
          <w:iCs/>
          <w:lang w:val="en-US"/>
        </w:rPr>
        <w:t>olivo</w:t>
      </w:r>
      <w:proofErr w:type="spellEnd"/>
      <w:r>
        <w:rPr>
          <w:lang w:val="en-US"/>
        </w:rPr>
        <w:t xml:space="preserve">). She also has recent experience in adapting biographical accounts for the screen with </w:t>
      </w:r>
      <w:proofErr w:type="spellStart"/>
      <w:r>
        <w:rPr>
          <w:lang w:val="en-US"/>
        </w:rPr>
        <w:t>Maixabel</w:t>
      </w:r>
      <w:proofErr w:type="spellEnd"/>
      <w:r>
        <w:rPr>
          <w:lang w:val="en-US"/>
        </w:rPr>
        <w:t xml:space="preserve">, co-written with Isa Campo. </w:t>
      </w:r>
      <w:r>
        <w:rPr>
          <w:i/>
          <w:iCs/>
          <w:highlight w:val="magenta"/>
          <w:lang w:val="en-US"/>
        </w:rPr>
        <w:t>Soy Nevenka</w:t>
      </w:r>
      <w:r>
        <w:rPr>
          <w:lang w:val="en-US"/>
        </w:rPr>
        <w:t xml:space="preserve"> is a Movistar Plus+ original film produced by Kowalski Films, Feelgood Media, and </w:t>
      </w:r>
      <w:proofErr w:type="spellStart"/>
      <w:r>
        <w:rPr>
          <w:lang w:val="en-US"/>
        </w:rPr>
        <w:t>Nva</w:t>
      </w:r>
      <w:proofErr w:type="spellEnd"/>
      <w:r>
        <w:rPr>
          <w:lang w:val="en-US"/>
        </w:rPr>
        <w:t xml:space="preserve"> </w:t>
      </w:r>
      <w:proofErr w:type="spellStart"/>
      <w:r>
        <w:rPr>
          <w:lang w:val="en-US"/>
        </w:rPr>
        <w:t>Peli</w:t>
      </w:r>
      <w:proofErr w:type="spellEnd"/>
      <w:r>
        <w:rPr>
          <w:lang w:val="en-US"/>
        </w:rPr>
        <w:t xml:space="preserve"> AIE, in association with Garbo </w:t>
      </w:r>
      <w:proofErr w:type="spellStart"/>
      <w:r>
        <w:rPr>
          <w:lang w:val="en-US"/>
        </w:rPr>
        <w:t>Produzioni</w:t>
      </w:r>
      <w:proofErr w:type="spellEnd"/>
      <w:r>
        <w:rPr>
          <w:lang w:val="en-US"/>
        </w:rPr>
        <w:t xml:space="preserve"> (Italy). The project operated with a budget of 4.6 million euros, including 1.2 million in subsidies from the ICAA.</w:t>
      </w:r>
    </w:p>
    <w:p w14:paraId="2BCE8A66" w14:textId="77777777" w:rsidR="00792349" w:rsidRDefault="00792349">
      <w:pPr>
        <w:widowControl/>
        <w:spacing w:after="80"/>
        <w:ind w:left="426" w:right="370"/>
        <w:jc w:val="both"/>
        <w:rPr>
          <w:lang w:val="en-US"/>
        </w:rPr>
      </w:pPr>
    </w:p>
    <w:p w14:paraId="2DA0427F" w14:textId="77777777" w:rsidR="00792349" w:rsidRDefault="00000000">
      <w:pPr>
        <w:widowControl/>
        <w:spacing w:after="80"/>
        <w:ind w:left="426" w:right="370"/>
        <w:jc w:val="both"/>
        <w:rPr>
          <w:lang w:val="en-US"/>
        </w:rPr>
      </w:pPr>
      <w:r>
        <w:rPr>
          <w:lang w:val="en-US"/>
        </w:rPr>
        <w:t>Compared to its predecessors, this film appears to be a commissioned work—a significant yet cautious investment that capitalizes on a subject matter already "in the air" and which has proven its resonance with the public.</w:t>
      </w:r>
    </w:p>
    <w:p w14:paraId="7823DB00" w14:textId="77777777" w:rsidR="00792349" w:rsidRDefault="00792349">
      <w:pPr>
        <w:widowControl/>
        <w:spacing w:after="80"/>
        <w:ind w:left="426" w:right="370"/>
        <w:jc w:val="both"/>
        <w:rPr>
          <w:lang w:val="en-US"/>
        </w:rPr>
      </w:pPr>
    </w:p>
    <w:p w14:paraId="1295792D" w14:textId="77777777" w:rsidR="00792349" w:rsidRDefault="00000000">
      <w:pPr>
        <w:widowControl/>
        <w:spacing w:after="80"/>
        <w:ind w:left="426" w:right="370"/>
        <w:jc w:val="both"/>
        <w:rPr>
          <w:lang w:val="en-US"/>
        </w:rPr>
      </w:pPr>
      <w:r>
        <w:rPr>
          <w:lang w:val="en-US"/>
        </w:rPr>
        <w:t xml:space="preserve">Put another way, these three productions are the result of work by established professionals, albeit at different stages of their careers. In a sense, </w:t>
      </w:r>
      <w:proofErr w:type="spellStart"/>
      <w:r>
        <w:rPr>
          <w:i/>
          <w:iCs/>
          <w:lang w:val="en-US"/>
        </w:rPr>
        <w:t>Intimidad</w:t>
      </w:r>
      <w:proofErr w:type="spellEnd"/>
      <w:r>
        <w:rPr>
          <w:i/>
          <w:iCs/>
          <w:lang w:val="en-US"/>
        </w:rPr>
        <w:t xml:space="preserve"> </w:t>
      </w:r>
      <w:r>
        <w:rPr>
          <w:lang w:val="en-US"/>
        </w:rPr>
        <w:t xml:space="preserve">and </w:t>
      </w:r>
      <w:r>
        <w:rPr>
          <w:i/>
          <w:iCs/>
          <w:lang w:val="en-US"/>
        </w:rPr>
        <w:t xml:space="preserve">Nevenka </w:t>
      </w:r>
      <w:r>
        <w:rPr>
          <w:lang w:val="en-US"/>
        </w:rPr>
        <w:t>represent new challenges for their producers and creators: the conquest of the paid platform with the highest number of subscribers in the country (and the world, with 222 million subscribers at that time)</w:t>
      </w:r>
      <w:r>
        <w:rPr>
          <w:rStyle w:val="Refdenotaalpie"/>
          <w:lang w:val="en-US"/>
        </w:rPr>
        <w:footnoteReference w:id="3"/>
      </w:r>
      <w:r>
        <w:rPr>
          <w:lang w:val="en-US"/>
        </w:rPr>
        <w:t>.</w:t>
      </w:r>
    </w:p>
    <w:p w14:paraId="0B5675AA" w14:textId="77777777" w:rsidR="00792349" w:rsidRDefault="00792349">
      <w:pPr>
        <w:widowControl/>
        <w:spacing w:after="80"/>
        <w:ind w:left="426" w:right="370"/>
        <w:jc w:val="both"/>
        <w:rPr>
          <w:lang w:val="en-US"/>
        </w:rPr>
      </w:pPr>
    </w:p>
    <w:p w14:paraId="0EECA4B9" w14:textId="77777777" w:rsidR="00792349" w:rsidRDefault="00000000">
      <w:pPr>
        <w:widowControl/>
        <w:spacing w:after="80"/>
        <w:ind w:left="426" w:right="370"/>
        <w:jc w:val="both"/>
        <w:rPr>
          <w:lang w:val="en-US"/>
        </w:rPr>
      </w:pPr>
      <w:r>
        <w:rPr>
          <w:lang w:val="en-US"/>
        </w:rPr>
        <w:t xml:space="preserve">Meanwhile, </w:t>
      </w:r>
      <w:r>
        <w:rPr>
          <w:i/>
          <w:iCs/>
          <w:lang w:val="en-US"/>
        </w:rPr>
        <w:t>Soy Nevenka</w:t>
      </w:r>
      <w:r>
        <w:rPr>
          <w:lang w:val="en-US"/>
        </w:rPr>
        <w:t xml:space="preserve"> emerges more as a "safe bet" by a director with numerous accolades in Spain (2 Goya Awards, 15 nominations, 5 medals from the Circle of Cinematographic Writers, 2 awards at San Sebastián) and a strong international reputation (including an award at the Cannes Film Festival). It is no coincidence that the Movistar Plus+ platform uses "Goya films" as a key promotional argument (“</w:t>
      </w:r>
      <w:proofErr w:type="spellStart"/>
      <w:r>
        <w:rPr>
          <w:lang w:val="en-US"/>
        </w:rPr>
        <w:t>Películas</w:t>
      </w:r>
      <w:proofErr w:type="spellEnd"/>
      <w:r>
        <w:rPr>
          <w:lang w:val="en-US"/>
        </w:rPr>
        <w:t>…”, 2024).</w:t>
      </w:r>
    </w:p>
    <w:p w14:paraId="2777F5E5" w14:textId="77777777" w:rsidR="00792349" w:rsidRDefault="00792349">
      <w:pPr>
        <w:widowControl/>
        <w:spacing w:after="80"/>
        <w:ind w:left="426" w:right="370"/>
        <w:jc w:val="both"/>
        <w:rPr>
          <w:lang w:val="en-US"/>
        </w:rPr>
      </w:pPr>
    </w:p>
    <w:p w14:paraId="40211DDF" w14:textId="77777777" w:rsidR="00792349" w:rsidRDefault="00000000">
      <w:pPr>
        <w:widowControl/>
        <w:spacing w:after="80"/>
        <w:ind w:left="426" w:right="370"/>
        <w:jc w:val="both"/>
        <w:rPr>
          <w:color w:val="9A0203"/>
          <w:lang w:val="en-US"/>
        </w:rPr>
      </w:pPr>
      <w:r>
        <w:rPr>
          <w:color w:val="9A0203"/>
          <w:lang w:val="en-US"/>
        </w:rPr>
        <w:t>3.2. Promotion and Reception</w:t>
      </w:r>
    </w:p>
    <w:p w14:paraId="5183B905" w14:textId="77777777" w:rsidR="00792349" w:rsidRDefault="00000000">
      <w:pPr>
        <w:widowControl/>
        <w:spacing w:after="80"/>
        <w:ind w:left="426" w:right="370"/>
        <w:jc w:val="both"/>
        <w:rPr>
          <w:i/>
          <w:iCs/>
          <w:color w:val="9A0203"/>
          <w:lang w:val="en-US"/>
        </w:rPr>
      </w:pPr>
      <w:r>
        <w:rPr>
          <w:i/>
          <w:iCs/>
          <w:color w:val="9A0203"/>
          <w:lang w:val="en-US"/>
        </w:rPr>
        <w:t xml:space="preserve">3.2.1. </w:t>
      </w:r>
      <w:proofErr w:type="spellStart"/>
      <w:r>
        <w:rPr>
          <w:i/>
          <w:iCs/>
          <w:color w:val="9A0203"/>
          <w:lang w:val="en-US"/>
        </w:rPr>
        <w:t>Intimidad</w:t>
      </w:r>
      <w:proofErr w:type="spellEnd"/>
      <w:r>
        <w:rPr>
          <w:i/>
          <w:iCs/>
          <w:color w:val="9A0203"/>
          <w:lang w:val="en-US"/>
        </w:rPr>
        <w:t xml:space="preserve"> (Privacy)</w:t>
      </w:r>
    </w:p>
    <w:p w14:paraId="455DD9D2" w14:textId="77777777" w:rsidR="00792349" w:rsidRDefault="00000000">
      <w:pPr>
        <w:widowControl/>
        <w:spacing w:after="80"/>
        <w:ind w:left="426" w:right="370"/>
        <w:jc w:val="both"/>
        <w:rPr>
          <w:color w:val="231F20"/>
          <w:lang w:val="en-US"/>
        </w:rPr>
      </w:pPr>
      <w:r>
        <w:rPr>
          <w:color w:val="231F20"/>
          <w:lang w:val="en-US"/>
        </w:rPr>
        <w:lastRenderedPageBreak/>
        <w:t>Since its launch in the United States in 2007 and in Europe from 2012 onwards, Netflix has begun to release its viewership data on a biannual basis as of December 2023. Initially, this was done through total hours watched, and subsequently by the corresponding number of "views," which is calculated by dividing the total hours watched by the duration (in hours) of the film or series.</w:t>
      </w:r>
    </w:p>
    <w:p w14:paraId="3C7A216F" w14:textId="77777777" w:rsidR="00792349" w:rsidRDefault="00792349">
      <w:pPr>
        <w:widowControl/>
        <w:spacing w:after="80"/>
        <w:ind w:left="426" w:right="370"/>
        <w:jc w:val="both"/>
        <w:rPr>
          <w:color w:val="231F20"/>
          <w:sz w:val="20"/>
          <w:szCs w:val="20"/>
          <w:lang w:val="en-US"/>
        </w:rPr>
      </w:pPr>
    </w:p>
    <w:p w14:paraId="3461787D" w14:textId="4772AF13" w:rsidR="00792349" w:rsidRDefault="00000000">
      <w:pPr>
        <w:widowControl/>
        <w:spacing w:after="80"/>
        <w:ind w:left="426" w:right="370"/>
        <w:jc w:val="both"/>
        <w:rPr>
          <w:color w:val="231F20"/>
          <w:lang w:val="en-US"/>
        </w:rPr>
      </w:pPr>
      <w:r>
        <w:rPr>
          <w:color w:val="231F20"/>
          <w:lang w:val="en-US"/>
        </w:rPr>
        <w:t xml:space="preserve">This reporting method has its limitations, as it cannot account for multiple viewings by the same subscriber, partial viewings, or instances where several people watch using a single account. Consequently, it does not allow for a retrospective evaluation of the reception of </w:t>
      </w:r>
      <w:proofErr w:type="spellStart"/>
      <w:r>
        <w:rPr>
          <w:i/>
          <w:iCs/>
          <w:color w:val="231F20"/>
          <w:lang w:val="en-US"/>
        </w:rPr>
        <w:t>Intimidad</w:t>
      </w:r>
      <w:proofErr w:type="spellEnd"/>
      <w:r>
        <w:rPr>
          <w:i/>
          <w:iCs/>
          <w:color w:val="231F20"/>
          <w:lang w:val="en-US"/>
        </w:rPr>
        <w:t xml:space="preserve"> </w:t>
      </w:r>
      <w:r>
        <w:rPr>
          <w:color w:val="231F20"/>
          <w:lang w:val="en-US"/>
        </w:rPr>
        <w:t xml:space="preserve">and </w:t>
      </w:r>
      <w:r>
        <w:rPr>
          <w:i/>
          <w:iCs/>
          <w:color w:val="231F20"/>
          <w:lang w:val="en-US"/>
        </w:rPr>
        <w:t xml:space="preserve">Nevenka </w:t>
      </w:r>
      <w:r>
        <w:rPr>
          <w:color w:val="231F20"/>
          <w:lang w:val="en-US"/>
        </w:rPr>
        <w:t>at the exact time of their premiere, nor does it provide a definitive figure for cumulative views since then. However, it does offer an indication of their ongoing popularity, considering that the platform itself emphasizes the "enduring appeal of Netflix originals," noting that nearly half of what was watched in the first half of 2025 consisted of titles premiered in 2023 or even earlier</w:t>
      </w:r>
      <w:r>
        <w:rPr>
          <w:rStyle w:val="Refdenotaalpie"/>
          <w:color w:val="231F20"/>
          <w:lang w:val="en-US"/>
        </w:rPr>
        <w:footnoteReference w:id="4"/>
      </w:r>
      <w:r>
        <w:rPr>
          <w:color w:val="231F20"/>
          <w:lang w:val="en-US"/>
        </w:rPr>
        <w:t>.</w:t>
      </w:r>
    </w:p>
    <w:p w14:paraId="1A583319" w14:textId="77777777" w:rsidR="00792349" w:rsidRDefault="00792349">
      <w:pPr>
        <w:widowControl/>
        <w:spacing w:after="80"/>
        <w:ind w:left="426" w:right="370"/>
        <w:jc w:val="both"/>
        <w:rPr>
          <w:color w:val="231F20"/>
          <w:sz w:val="20"/>
          <w:szCs w:val="20"/>
          <w:lang w:val="en-US"/>
        </w:rPr>
      </w:pPr>
    </w:p>
    <w:p w14:paraId="44ACF7D6" w14:textId="444C41F2" w:rsidR="00792349" w:rsidRDefault="00000000">
      <w:pPr>
        <w:widowControl/>
        <w:spacing w:after="80"/>
        <w:ind w:left="426" w:right="370"/>
        <w:jc w:val="both"/>
        <w:rPr>
          <w:color w:val="231F20"/>
          <w:lang w:val="en-US"/>
        </w:rPr>
      </w:pPr>
      <w:r>
        <w:rPr>
          <w:color w:val="231F20"/>
          <w:lang w:val="en-US"/>
        </w:rPr>
        <w:t xml:space="preserve">Regarding </w:t>
      </w:r>
      <w:proofErr w:type="spellStart"/>
      <w:r>
        <w:rPr>
          <w:i/>
          <w:iCs/>
          <w:color w:val="231F20"/>
          <w:lang w:val="en-US"/>
        </w:rPr>
        <w:t>Intimidad</w:t>
      </w:r>
      <w:proofErr w:type="spellEnd"/>
      <w:r>
        <w:rPr>
          <w:color w:val="231F20"/>
          <w:lang w:val="en-US"/>
        </w:rPr>
        <w:t>, since its release in June 2022, it reached 900,000 views across the 6.25 hours of its only season (to date) during 2023 and 2024—amounting to 5.9 million hours watched</w:t>
      </w:r>
      <w:r w:rsidR="00BF4357">
        <w:rPr>
          <w:rStyle w:val="Refdenotaalpie"/>
          <w:color w:val="231F20"/>
          <w:lang w:val="en-US"/>
        </w:rPr>
        <w:footnoteReference w:id="5"/>
      </w:r>
      <w:r>
        <w:rPr>
          <w:color w:val="231F20"/>
          <w:lang w:val="en-US"/>
        </w:rPr>
        <w:t>. It is also known that this high volume of viewing hours made the series the number one non-English language show during the summer of its premiere (De la Fuente, Hopewell, 2022). It was only in the first half of 2025 that this figure began to decline to 600,000 views³</w:t>
      </w:r>
      <w:r w:rsidR="00BF4357">
        <w:rPr>
          <w:rStyle w:val="Refdenotaalpie"/>
          <w:color w:val="231F20"/>
          <w:lang w:val="en-US"/>
        </w:rPr>
        <w:footnoteReference w:id="6"/>
      </w:r>
      <w:r>
        <w:rPr>
          <w:color w:val="231F20"/>
          <w:lang w:val="en-US"/>
        </w:rPr>
        <w:t>. Although the series' creators refuse to use the inspiration from real-life cases as a promotional angle, there are very few press articles that fail to mention it (“</w:t>
      </w:r>
      <w:proofErr w:type="spellStart"/>
      <w:r>
        <w:rPr>
          <w:i/>
          <w:iCs/>
          <w:color w:val="231F20"/>
          <w:lang w:val="en-US"/>
        </w:rPr>
        <w:t>Intimidad</w:t>
      </w:r>
      <w:proofErr w:type="spellEnd"/>
      <w:r w:rsidR="00BF4357">
        <w:rPr>
          <w:i/>
          <w:iCs/>
          <w:color w:val="231F20"/>
          <w:lang w:val="en-US"/>
        </w:rPr>
        <w:t>…</w:t>
      </w:r>
      <w:r>
        <w:rPr>
          <w:color w:val="231F20"/>
          <w:lang w:val="en-US"/>
        </w:rPr>
        <w:t xml:space="preserve">”, 2022; </w:t>
      </w:r>
      <w:proofErr w:type="spellStart"/>
      <w:r>
        <w:rPr>
          <w:color w:val="231F20"/>
          <w:lang w:val="en-US"/>
        </w:rPr>
        <w:t>Monfort</w:t>
      </w:r>
      <w:proofErr w:type="spellEnd"/>
      <w:r>
        <w:rPr>
          <w:color w:val="231F20"/>
          <w:lang w:val="en-US"/>
        </w:rPr>
        <w:t>, 2022; Puig, 2022). In this vein, co-screenwriter Laura Sarmiento stated:</w:t>
      </w:r>
    </w:p>
    <w:p w14:paraId="3AAC9799" w14:textId="77777777" w:rsidR="00792349" w:rsidRDefault="00000000">
      <w:pPr>
        <w:widowControl/>
        <w:spacing w:after="80"/>
        <w:ind w:left="1134" w:right="370"/>
        <w:jc w:val="both"/>
        <w:rPr>
          <w:color w:val="9A0203"/>
          <w:sz w:val="18"/>
          <w:szCs w:val="18"/>
          <w:lang w:val="en-US"/>
        </w:rPr>
      </w:pPr>
      <w:r>
        <w:rPr>
          <w:color w:val="9A0203"/>
          <w:sz w:val="18"/>
          <w:szCs w:val="18"/>
          <w:lang w:val="en-US"/>
        </w:rPr>
        <w:t xml:space="preserve">Although </w:t>
      </w:r>
      <w:proofErr w:type="spellStart"/>
      <w:r>
        <w:rPr>
          <w:i/>
          <w:iCs/>
          <w:color w:val="9A0203"/>
          <w:sz w:val="18"/>
          <w:szCs w:val="18"/>
          <w:lang w:val="en-US"/>
        </w:rPr>
        <w:t>Intimidad</w:t>
      </w:r>
      <w:proofErr w:type="spellEnd"/>
      <w:r>
        <w:rPr>
          <w:color w:val="9A0203"/>
          <w:sz w:val="18"/>
          <w:szCs w:val="18"/>
          <w:lang w:val="en-US"/>
        </w:rPr>
        <w:t xml:space="preserve"> is not based on any specific real case, cases that we all have in our memory do resonate, such as that of the politician </w:t>
      </w:r>
      <w:proofErr w:type="spellStart"/>
      <w:r>
        <w:rPr>
          <w:color w:val="9A0203"/>
          <w:sz w:val="18"/>
          <w:szCs w:val="18"/>
          <w:lang w:val="en-US"/>
        </w:rPr>
        <w:t>Olvido</w:t>
      </w:r>
      <w:proofErr w:type="spellEnd"/>
      <w:r>
        <w:rPr>
          <w:color w:val="9A0203"/>
          <w:sz w:val="18"/>
          <w:szCs w:val="18"/>
          <w:lang w:val="en-US"/>
        </w:rPr>
        <w:t xml:space="preserve"> </w:t>
      </w:r>
      <w:proofErr w:type="spellStart"/>
      <w:r>
        <w:rPr>
          <w:color w:val="9A0203"/>
          <w:sz w:val="18"/>
          <w:szCs w:val="18"/>
          <w:lang w:val="en-US"/>
        </w:rPr>
        <w:t>Hormigos</w:t>
      </w:r>
      <w:proofErr w:type="spellEnd"/>
      <w:r>
        <w:rPr>
          <w:color w:val="9A0203"/>
          <w:sz w:val="18"/>
          <w:szCs w:val="18"/>
          <w:lang w:val="en-US"/>
        </w:rPr>
        <w:t xml:space="preserve"> a decade ago or the more recent Iveco case, </w:t>
      </w:r>
      <w:r>
        <w:rPr>
          <w:color w:val="9A0203"/>
          <w:sz w:val="18"/>
          <w:szCs w:val="18"/>
          <w:highlight w:val="magenta"/>
          <w:lang w:val="en-US"/>
        </w:rPr>
        <w:t>'w</w:t>
      </w:r>
      <w:r>
        <w:rPr>
          <w:color w:val="9A0203"/>
          <w:sz w:val="18"/>
          <w:szCs w:val="18"/>
          <w:lang w:val="en-US"/>
        </w:rPr>
        <w:t>hich ended with the suicide of a female worker of the company in 2019 following the leak of a sexual vide</w:t>
      </w:r>
      <w:r>
        <w:rPr>
          <w:color w:val="9A0203"/>
          <w:sz w:val="18"/>
          <w:szCs w:val="18"/>
          <w:highlight w:val="magenta"/>
          <w:lang w:val="en-US"/>
        </w:rPr>
        <w:t>o'</w:t>
      </w:r>
      <w:r>
        <w:rPr>
          <w:color w:val="9A0203"/>
          <w:sz w:val="18"/>
          <w:szCs w:val="18"/>
          <w:lang w:val="en-US"/>
        </w:rPr>
        <w:t xml:space="preserve"> and which took place when the series was already in development' (Puig, 2022).</w:t>
      </w:r>
    </w:p>
    <w:p w14:paraId="0A408DAB" w14:textId="77777777" w:rsidR="00792349" w:rsidRDefault="00000000">
      <w:pPr>
        <w:widowControl/>
        <w:spacing w:after="80"/>
        <w:ind w:left="426" w:right="370"/>
        <w:jc w:val="both"/>
        <w:rPr>
          <w:color w:val="231F20"/>
          <w:lang w:val="en-US"/>
        </w:rPr>
      </w:pPr>
      <w:r>
        <w:rPr>
          <w:color w:val="231F20"/>
          <w:lang w:val="en-US"/>
        </w:rPr>
        <w:t>The results thus reflect the success of a fiction series whose promotion openly bets on an audience that is already informed and sensitized by the real-life cases that inspired it.</w:t>
      </w:r>
    </w:p>
    <w:p w14:paraId="69879EBA" w14:textId="77777777" w:rsidR="00792349" w:rsidRDefault="00792349">
      <w:pPr>
        <w:widowControl/>
        <w:spacing w:after="80"/>
        <w:ind w:left="426" w:right="370"/>
        <w:jc w:val="both"/>
        <w:rPr>
          <w:color w:val="231F20"/>
          <w:lang w:val="en-US"/>
        </w:rPr>
      </w:pPr>
    </w:p>
    <w:p w14:paraId="12E13BF6" w14:textId="77777777" w:rsidR="00792349" w:rsidRDefault="00000000">
      <w:pPr>
        <w:widowControl/>
        <w:spacing w:after="80"/>
        <w:ind w:left="426" w:right="370"/>
        <w:jc w:val="both"/>
        <w:rPr>
          <w:i/>
          <w:iCs/>
          <w:color w:val="9A0203"/>
          <w:lang w:val="en-US"/>
        </w:rPr>
      </w:pPr>
      <w:r>
        <w:rPr>
          <w:i/>
          <w:iCs/>
          <w:color w:val="9A0203"/>
          <w:lang w:val="en-US"/>
        </w:rPr>
        <w:t>3.2.2. Nevenka</w:t>
      </w:r>
    </w:p>
    <w:p w14:paraId="65C5FF8B" w14:textId="6CBB76FE" w:rsidR="00792349" w:rsidRDefault="00000000">
      <w:pPr>
        <w:widowControl/>
        <w:spacing w:after="80"/>
        <w:ind w:left="426" w:right="370"/>
        <w:jc w:val="both"/>
        <w:rPr>
          <w:color w:val="231F20"/>
          <w:lang w:val="en-US"/>
        </w:rPr>
      </w:pPr>
      <w:r>
        <w:rPr>
          <w:color w:val="231F20"/>
          <w:lang w:val="en-US"/>
        </w:rPr>
        <w:lastRenderedPageBreak/>
        <w:t xml:space="preserve">With global access, the documentary miniseries </w:t>
      </w:r>
      <w:r>
        <w:rPr>
          <w:i/>
          <w:iCs/>
          <w:color w:val="231F20"/>
          <w:highlight w:val="magenta"/>
          <w:lang w:val="en-US"/>
        </w:rPr>
        <w:t>Nevenka</w:t>
      </w:r>
      <w:r>
        <w:rPr>
          <w:color w:val="231F20"/>
          <w:lang w:val="en-US"/>
        </w:rPr>
        <w:t>, premiered in March 2021, reached 100,000 views in 2023, 2024, and the first half of 2025 (equivalent to between 200,000 and 100,000 hours for its three episodes, with a total duration of 116 minutes) according to Netflix's biannual reports</w:t>
      </w:r>
      <w:r w:rsidR="00BF4357">
        <w:rPr>
          <w:rStyle w:val="Refdenotaalpie"/>
          <w:color w:val="231F20"/>
          <w:lang w:val="en-US"/>
        </w:rPr>
        <w:footnoteReference w:id="7"/>
      </w:r>
      <w:r>
        <w:rPr>
          <w:color w:val="231F20"/>
          <w:lang w:val="en-US"/>
        </w:rPr>
        <w:t xml:space="preserve">. This places it at the tail end of said reports, far behind series like </w:t>
      </w:r>
      <w:r>
        <w:rPr>
          <w:i/>
          <w:iCs/>
          <w:color w:val="231F20"/>
          <w:highlight w:val="magenta"/>
          <w:lang w:val="en-US"/>
        </w:rPr>
        <w:t>Bridgerton</w:t>
      </w:r>
      <w:r>
        <w:rPr>
          <w:color w:val="231F20"/>
          <w:lang w:val="en-US"/>
        </w:rPr>
        <w:t>, which approach (or even nearly double, depending on the season) 100 million views.</w:t>
      </w:r>
    </w:p>
    <w:p w14:paraId="77E953A8" w14:textId="77777777" w:rsidR="00792349" w:rsidRDefault="00792349">
      <w:pPr>
        <w:widowControl/>
        <w:spacing w:after="80"/>
        <w:ind w:left="426" w:right="370"/>
        <w:jc w:val="both"/>
        <w:rPr>
          <w:color w:val="231F20"/>
          <w:lang w:val="en-US"/>
        </w:rPr>
      </w:pPr>
    </w:p>
    <w:p w14:paraId="4D3B3DE8" w14:textId="77777777" w:rsidR="00792349" w:rsidRDefault="00000000">
      <w:pPr>
        <w:widowControl/>
        <w:spacing w:after="80"/>
        <w:ind w:left="426" w:right="370"/>
        <w:jc w:val="both"/>
        <w:rPr>
          <w:color w:val="231F20"/>
          <w:lang w:val="en-US"/>
        </w:rPr>
      </w:pPr>
      <w:r>
        <w:rPr>
          <w:color w:val="231F20"/>
          <w:lang w:val="en-US"/>
        </w:rPr>
        <w:t>These modest figures should be weighed against a budget that, while unknown to us, we can imagine is quite low due to its understated mise-</w:t>
      </w:r>
      <w:proofErr w:type="spellStart"/>
      <w:r>
        <w:rPr>
          <w:color w:val="231F20"/>
          <w:lang w:val="en-US"/>
        </w:rPr>
        <w:t>en</w:t>
      </w:r>
      <w:proofErr w:type="spellEnd"/>
      <w:r>
        <w:rPr>
          <w:color w:val="231F20"/>
          <w:lang w:val="en-US"/>
        </w:rPr>
        <w:t>-</w:t>
      </w:r>
      <w:proofErr w:type="spellStart"/>
      <w:r>
        <w:rPr>
          <w:color w:val="231F20"/>
          <w:lang w:val="en-US"/>
        </w:rPr>
        <w:t>scène</w:t>
      </w:r>
      <w:proofErr w:type="spellEnd"/>
      <w:r>
        <w:rPr>
          <w:color w:val="231F20"/>
          <w:lang w:val="en-US"/>
        </w:rPr>
        <w:t>, based essentially on recorded testimonies and archival footage. Furthermore, the documentary genre is currently not the primary driver of audience numbers, and in this regard, VOD (Video on Demand) does not differ from traditional television or cinema. Nevertheless, it was with a documentary (</w:t>
      </w:r>
      <w:r>
        <w:rPr>
          <w:i/>
          <w:iCs/>
          <w:color w:val="231F20"/>
          <w:highlight w:val="magenta"/>
          <w:lang w:val="en-US"/>
        </w:rPr>
        <w:t>Icarus</w:t>
      </w:r>
      <w:r>
        <w:rPr>
          <w:color w:val="231F20"/>
          <w:lang w:val="en-US"/>
        </w:rPr>
        <w:t>, 2017) that Netflix won its first Oscar, and several of its documentary miniseries have achieved audience and critical results that rival its fiction titles (</w:t>
      </w:r>
      <w:r>
        <w:rPr>
          <w:i/>
          <w:iCs/>
          <w:color w:val="231F20"/>
          <w:highlight w:val="magenta"/>
          <w:lang w:val="en-US"/>
        </w:rPr>
        <w:t>Making a Murderer</w:t>
      </w:r>
      <w:r>
        <w:rPr>
          <w:color w:val="231F20"/>
          <w:lang w:val="en-US"/>
        </w:rPr>
        <w:t xml:space="preserve">, 2015-18; </w:t>
      </w:r>
      <w:r>
        <w:rPr>
          <w:i/>
          <w:iCs/>
          <w:color w:val="231F20"/>
          <w:highlight w:val="magenta"/>
          <w:lang w:val="en-US"/>
        </w:rPr>
        <w:t>Tiger King</w:t>
      </w:r>
      <w:r>
        <w:rPr>
          <w:color w:val="231F20"/>
          <w:lang w:val="en-US"/>
        </w:rPr>
        <w:t>, 2020). It remains to be seen whether the release of the fiction film based on the same story can provide a rebound in interest.</w:t>
      </w:r>
    </w:p>
    <w:p w14:paraId="74C2BA14" w14:textId="77777777" w:rsidR="00792349" w:rsidRDefault="00792349">
      <w:pPr>
        <w:widowControl/>
        <w:spacing w:after="80"/>
        <w:ind w:left="426" w:right="370"/>
        <w:jc w:val="both"/>
        <w:rPr>
          <w:color w:val="231F20"/>
          <w:lang w:val="en-US"/>
        </w:rPr>
      </w:pPr>
    </w:p>
    <w:p w14:paraId="6D69986F" w14:textId="77777777" w:rsidR="00792349" w:rsidRDefault="00000000">
      <w:pPr>
        <w:widowControl/>
        <w:spacing w:after="80"/>
        <w:ind w:left="426" w:right="370"/>
        <w:jc w:val="both"/>
        <w:rPr>
          <w:color w:val="231F20"/>
          <w:lang w:val="en-US"/>
        </w:rPr>
      </w:pPr>
      <w:r>
        <w:rPr>
          <w:color w:val="9A0203"/>
          <w:lang w:val="en-US"/>
        </w:rPr>
        <w:t>3.2.3.</w:t>
      </w:r>
      <w:r>
        <w:rPr>
          <w:i/>
          <w:iCs/>
          <w:color w:val="9A0203"/>
          <w:lang w:val="en-US"/>
        </w:rPr>
        <w:t xml:space="preserve"> Soy Nevenka</w:t>
      </w:r>
      <w:r>
        <w:rPr>
          <w:color w:val="9A0203"/>
          <w:lang w:val="en-US"/>
        </w:rPr>
        <w:t xml:space="preserve"> (</w:t>
      </w:r>
      <w:r>
        <w:rPr>
          <w:i/>
          <w:iCs/>
          <w:color w:val="9A0203"/>
          <w:lang w:val="en-US"/>
        </w:rPr>
        <w:t>I am Nevenka</w:t>
      </w:r>
      <w:r>
        <w:rPr>
          <w:color w:val="9A0203"/>
          <w:lang w:val="en-US"/>
        </w:rPr>
        <w:t>)</w:t>
      </w:r>
    </w:p>
    <w:p w14:paraId="0709CE3E" w14:textId="77777777" w:rsidR="00792349" w:rsidRDefault="00000000">
      <w:pPr>
        <w:widowControl/>
        <w:spacing w:after="80"/>
        <w:ind w:left="426" w:right="370"/>
        <w:jc w:val="both"/>
        <w:rPr>
          <w:color w:val="231F20"/>
          <w:lang w:val="en-US"/>
        </w:rPr>
      </w:pPr>
      <w:r>
        <w:rPr>
          <w:i/>
          <w:iCs/>
          <w:color w:val="231F20"/>
          <w:lang w:val="en-US"/>
        </w:rPr>
        <w:t>Soy Nevenka</w:t>
      </w:r>
      <w:r>
        <w:rPr>
          <w:color w:val="231F20"/>
          <w:lang w:val="en-US"/>
        </w:rPr>
        <w:t xml:space="preserve"> was released with posters promoting the film under the tagline "this is a true story," serving as a supposed seal of quality.</w:t>
      </w:r>
    </w:p>
    <w:p w14:paraId="1E39D400" w14:textId="77777777" w:rsidR="00792349" w:rsidRDefault="00792349">
      <w:pPr>
        <w:widowControl/>
        <w:spacing w:after="80"/>
        <w:ind w:left="426" w:right="370"/>
        <w:jc w:val="both"/>
        <w:rPr>
          <w:color w:val="231F20"/>
          <w:lang w:val="en-US"/>
        </w:rPr>
      </w:pPr>
    </w:p>
    <w:p w14:paraId="2B86D5AC" w14:textId="77777777" w:rsidR="00792349" w:rsidRDefault="00000000">
      <w:pPr>
        <w:widowControl/>
        <w:spacing w:after="80"/>
        <w:ind w:left="426" w:right="370"/>
        <w:jc w:val="both"/>
        <w:rPr>
          <w:color w:val="231F20"/>
          <w:lang w:val="en-US"/>
        </w:rPr>
      </w:pPr>
      <w:r>
        <w:rPr>
          <w:color w:val="231F20"/>
          <w:lang w:val="en-US"/>
        </w:rPr>
        <w:t>Abroad (specifically in France), it is even presented as "the first #MeToo case in Spain" (a slogan taken from the Spanish press; see, for example, Meeks, 2024 and Ramos, 2024). This assertion couldn't be more inaccurate: on one hand, because #MeToo is not specifically a complaint about harassment within politics; on the other hand, because the Nevenka case was characterized by the total isolation of the whistleblower—no one, absolutely no one, uttered those words "me too" to join her complaint. In contrast, the revelation of film producer Harvey Weinstein's abuses triggered a wave of female solidarity in coming forward.</w:t>
      </w:r>
    </w:p>
    <w:p w14:paraId="6EC000DF" w14:textId="77777777" w:rsidR="00792349" w:rsidRDefault="00792349">
      <w:pPr>
        <w:widowControl/>
        <w:spacing w:after="80"/>
        <w:ind w:left="426" w:right="370"/>
        <w:jc w:val="both"/>
        <w:rPr>
          <w:color w:val="231F20"/>
          <w:sz w:val="20"/>
          <w:szCs w:val="20"/>
          <w:lang w:val="en-US"/>
        </w:rPr>
      </w:pPr>
    </w:p>
    <w:p w14:paraId="56EE5F99" w14:textId="77777777" w:rsidR="00792349" w:rsidRDefault="00000000">
      <w:pPr>
        <w:widowControl/>
        <w:spacing w:after="80"/>
        <w:ind w:left="426" w:right="370"/>
        <w:jc w:val="both"/>
        <w:rPr>
          <w:color w:val="231F20"/>
          <w:lang w:val="en-US"/>
        </w:rPr>
      </w:pPr>
      <w:r>
        <w:rPr>
          <w:color w:val="231F20"/>
          <w:lang w:val="en-US"/>
        </w:rPr>
        <w:t>The premiere was also accompanied by controversy regarding the alleged difficulties of filming in Ponferrada:</w:t>
      </w:r>
    </w:p>
    <w:p w14:paraId="11D662B3" w14:textId="77777777" w:rsidR="00792349" w:rsidRDefault="00792349">
      <w:pPr>
        <w:widowControl/>
        <w:spacing w:after="80"/>
        <w:ind w:left="426" w:right="370"/>
        <w:jc w:val="both"/>
        <w:rPr>
          <w:color w:val="231F20"/>
          <w:lang w:val="en-US"/>
        </w:rPr>
      </w:pPr>
    </w:p>
    <w:p w14:paraId="68953901" w14:textId="77777777" w:rsidR="00792349" w:rsidRDefault="00000000">
      <w:pPr>
        <w:widowControl/>
        <w:spacing w:after="80"/>
        <w:ind w:left="1276" w:right="370"/>
        <w:jc w:val="both"/>
        <w:rPr>
          <w:color w:val="9A0203"/>
          <w:sz w:val="18"/>
          <w:szCs w:val="18"/>
          <w:lang w:val="en-US"/>
        </w:rPr>
      </w:pPr>
      <w:r>
        <w:rPr>
          <w:color w:val="9A0203"/>
          <w:sz w:val="18"/>
          <w:szCs w:val="18"/>
          <w:lang w:val="en-US"/>
        </w:rPr>
        <w:t xml:space="preserve">The film was shot in Zamora due to the refusal of the City Council of the capital of El Bierzo to authorize the filming, as denounced at the time by the film's producer. In this regard, the mayor of Ponferrada, the popular Marco Morala, has assured that he has no record of any request to film the movie in the city having been registered, without going into further explanations. An argument refuted by the socialist spokesperson in the City Council, Olegario Ramón, who maintains that when he was </w:t>
      </w:r>
      <w:r>
        <w:rPr>
          <w:color w:val="9A0203"/>
          <w:sz w:val="18"/>
          <w:szCs w:val="18"/>
          <w:lang w:val="en-US"/>
        </w:rPr>
        <w:lastRenderedPageBreak/>
        <w:t xml:space="preserve">mayor in the previous term, director </w:t>
      </w:r>
      <w:proofErr w:type="spellStart"/>
      <w:r>
        <w:rPr>
          <w:color w:val="9A0203"/>
          <w:sz w:val="18"/>
          <w:szCs w:val="18"/>
          <w:lang w:val="en-US"/>
        </w:rPr>
        <w:t>Icíar</w:t>
      </w:r>
      <w:proofErr w:type="spellEnd"/>
      <w:r>
        <w:rPr>
          <w:color w:val="9A0203"/>
          <w:sz w:val="18"/>
          <w:szCs w:val="18"/>
          <w:lang w:val="en-US"/>
        </w:rPr>
        <w:t xml:space="preserve"> </w:t>
      </w:r>
      <w:proofErr w:type="spellStart"/>
      <w:r>
        <w:rPr>
          <w:color w:val="9A0203"/>
          <w:sz w:val="18"/>
          <w:szCs w:val="18"/>
          <w:lang w:val="en-US"/>
        </w:rPr>
        <w:t>Bollaín</w:t>
      </w:r>
      <w:proofErr w:type="spellEnd"/>
      <w:r>
        <w:rPr>
          <w:color w:val="9A0203"/>
          <w:sz w:val="18"/>
          <w:szCs w:val="18"/>
          <w:lang w:val="en-US"/>
        </w:rPr>
        <w:t xml:space="preserve"> visited the city looking for locations for the shoot 'but everything went wrong with the arrival of the PP to the Mayor's Office' after the municipal elections (EFE, 2024).</w:t>
      </w:r>
    </w:p>
    <w:p w14:paraId="3FB8BC3F" w14:textId="77777777" w:rsidR="00792349" w:rsidRDefault="00792349">
      <w:pPr>
        <w:widowControl/>
        <w:spacing w:after="80"/>
        <w:ind w:left="1276" w:right="370"/>
        <w:jc w:val="both"/>
        <w:rPr>
          <w:color w:val="9A0203"/>
          <w:sz w:val="18"/>
          <w:szCs w:val="18"/>
          <w:lang w:val="en-US"/>
        </w:rPr>
      </w:pPr>
    </w:p>
    <w:p w14:paraId="2D1A9168" w14:textId="77777777" w:rsidR="00792349" w:rsidRDefault="00000000">
      <w:pPr>
        <w:widowControl/>
        <w:spacing w:after="80"/>
        <w:ind w:left="426" w:right="370"/>
        <w:jc w:val="both"/>
        <w:rPr>
          <w:color w:val="231F20"/>
          <w:lang w:val="en-US"/>
        </w:rPr>
      </w:pPr>
      <w:r>
        <w:rPr>
          <w:color w:val="231F20"/>
          <w:lang w:val="en-US"/>
        </w:rPr>
        <w:t xml:space="preserve">This has also sparked diverse interpretations regarding its reception at the scene of the events, depending on the media outlet. According to </w:t>
      </w:r>
      <w:r>
        <w:rPr>
          <w:i/>
          <w:iCs/>
          <w:color w:val="231F20"/>
          <w:lang w:val="en-US"/>
        </w:rPr>
        <w:t xml:space="preserve">El Bierzo Noticias </w:t>
      </w:r>
      <w:r>
        <w:rPr>
          <w:color w:val="231F20"/>
          <w:lang w:val="en-US"/>
        </w:rPr>
        <w:t xml:space="preserve">(Ramos, 2024), "At a local level, the La Dehesa Cinemas in Ponferrada were among those that achieved the highest box office rankings for the film, which even earned them a congratulation from Disney, the distributor of </w:t>
      </w:r>
      <w:proofErr w:type="spellStart"/>
      <w:r>
        <w:rPr>
          <w:color w:val="231F20"/>
          <w:lang w:val="en-US"/>
        </w:rPr>
        <w:t>Bollaín's</w:t>
      </w:r>
      <w:proofErr w:type="spellEnd"/>
      <w:r>
        <w:rPr>
          <w:color w:val="231F20"/>
          <w:lang w:val="en-US"/>
        </w:rPr>
        <w:t xml:space="preserve"> movie." </w:t>
      </w:r>
      <w:r>
        <w:rPr>
          <w:i/>
          <w:iCs/>
          <w:color w:val="231F20"/>
          <w:lang w:val="en-US"/>
        </w:rPr>
        <w:t>El Bierzo Noticias</w:t>
      </w:r>
      <w:r>
        <w:rPr>
          <w:color w:val="231F20"/>
          <w:lang w:val="en-US"/>
        </w:rPr>
        <w:t xml:space="preserve"> is part of the </w:t>
      </w:r>
      <w:proofErr w:type="spellStart"/>
      <w:r>
        <w:rPr>
          <w:color w:val="231F20"/>
          <w:lang w:val="en-US"/>
        </w:rPr>
        <w:t>Vocento</w:t>
      </w:r>
      <w:proofErr w:type="spellEnd"/>
      <w:r>
        <w:rPr>
          <w:color w:val="231F20"/>
          <w:lang w:val="en-US"/>
        </w:rPr>
        <w:t xml:space="preserve"> multimedia group, which also owned the DTT channel that broadcast Disney Channel between 2008 and 2025; thus, the interest in highlighting the film's positive reception is shared across all the group's media outlets.</w:t>
      </w:r>
    </w:p>
    <w:p w14:paraId="6F49186C" w14:textId="77777777" w:rsidR="00792349" w:rsidRDefault="00792349">
      <w:pPr>
        <w:widowControl/>
        <w:spacing w:after="80"/>
        <w:ind w:left="426" w:right="370"/>
        <w:jc w:val="both"/>
        <w:rPr>
          <w:color w:val="231F20"/>
          <w:lang w:val="en-US"/>
        </w:rPr>
      </w:pPr>
    </w:p>
    <w:p w14:paraId="623AD8AD" w14:textId="77777777" w:rsidR="00792349" w:rsidRDefault="00000000">
      <w:pPr>
        <w:widowControl/>
        <w:spacing w:after="80"/>
        <w:ind w:left="426" w:right="370"/>
        <w:jc w:val="both"/>
        <w:rPr>
          <w:color w:val="231F20"/>
          <w:lang w:val="en-US"/>
        </w:rPr>
      </w:pPr>
      <w:r>
        <w:rPr>
          <w:color w:val="231F20"/>
          <w:lang w:val="en-US"/>
        </w:rPr>
        <w:t xml:space="preserve">In contrast, in </w:t>
      </w:r>
      <w:r>
        <w:rPr>
          <w:i/>
          <w:iCs/>
          <w:color w:val="231F20"/>
          <w:lang w:val="en-US"/>
        </w:rPr>
        <w:t>ElDiario.es</w:t>
      </w:r>
      <w:r>
        <w:rPr>
          <w:color w:val="231F20"/>
          <w:lang w:val="en-US"/>
        </w:rPr>
        <w:t xml:space="preserve"> one can read that</w:t>
      </w:r>
    </w:p>
    <w:p w14:paraId="06973EFD" w14:textId="77777777" w:rsidR="00792349" w:rsidRDefault="00792349">
      <w:pPr>
        <w:widowControl/>
        <w:spacing w:after="80"/>
        <w:ind w:left="426" w:right="370"/>
        <w:jc w:val="both"/>
        <w:rPr>
          <w:color w:val="231F20"/>
          <w:lang w:val="en-US"/>
        </w:rPr>
      </w:pPr>
    </w:p>
    <w:p w14:paraId="73583717" w14:textId="77777777" w:rsidR="00792349" w:rsidRDefault="00000000">
      <w:pPr>
        <w:widowControl/>
        <w:spacing w:after="80"/>
        <w:ind w:left="1276" w:right="370"/>
        <w:jc w:val="both"/>
        <w:rPr>
          <w:color w:val="9A0203"/>
          <w:sz w:val="18"/>
          <w:szCs w:val="18"/>
          <w:lang w:val="en-US"/>
        </w:rPr>
      </w:pPr>
      <w:r>
        <w:rPr>
          <w:color w:val="9A0203"/>
          <w:sz w:val="18"/>
          <w:szCs w:val="18"/>
          <w:lang w:val="en-US"/>
        </w:rPr>
        <w:t>The film, which tells the story of the horror she suffered and was the subject of the first sentence of its kind against a political official in Spain, arrived in the city this past Friday with an attendance of 200 people, even though 900 seats were offered across the three sessions, according to sources from the company that operates the La Dehesa cinemas informed Efe. The first screening, last Friday at five in the afternoon, barely gathered about thirty people, and throughout the weekend none of the sessions registered good ticket sales (EFE, 2024).</w:t>
      </w:r>
    </w:p>
    <w:p w14:paraId="1A465CA0" w14:textId="77777777" w:rsidR="00792349" w:rsidRDefault="00792349">
      <w:pPr>
        <w:widowControl/>
        <w:spacing w:after="80"/>
        <w:ind w:left="1276" w:right="370"/>
        <w:jc w:val="both"/>
        <w:rPr>
          <w:color w:val="9A0203"/>
          <w:sz w:val="18"/>
          <w:szCs w:val="18"/>
          <w:lang w:val="en-US"/>
        </w:rPr>
      </w:pPr>
    </w:p>
    <w:p w14:paraId="185C35ED" w14:textId="77777777" w:rsidR="00792349" w:rsidRDefault="00000000">
      <w:pPr>
        <w:widowControl/>
        <w:spacing w:after="80"/>
        <w:ind w:left="426" w:right="370"/>
        <w:jc w:val="both"/>
        <w:rPr>
          <w:color w:val="231F20"/>
          <w:lang w:val="en-US"/>
        </w:rPr>
      </w:pPr>
      <w:r>
        <w:rPr>
          <w:color w:val="231F20"/>
          <w:lang w:val="en-US"/>
        </w:rPr>
        <w:t xml:space="preserve">The editorial line of </w:t>
      </w:r>
      <w:r>
        <w:rPr>
          <w:i/>
          <w:iCs/>
          <w:color w:val="231F20"/>
          <w:lang w:val="en-US"/>
        </w:rPr>
        <w:t>ElDiario.es</w:t>
      </w:r>
      <w:r>
        <w:rPr>
          <w:color w:val="231F20"/>
          <w:lang w:val="en-US"/>
        </w:rPr>
        <w:t>, which leans more to the left, does not seem to justify giving "bad press" to a film that ostensibly defends values of gender equality—it has even received the "Especially recommended for the promotion of gender equality" distinction, a rating created by the Ministry of Culture in 2011 and determined by the ICAA Rating Commission. However, this comment regarding the cold local reception may precisely aim to denounce the fact that the patriarchal climate—which allowed the former mayor of Ponferrada to believe he was beyond the reach of justice—still exists.</w:t>
      </w:r>
    </w:p>
    <w:p w14:paraId="248D89BC" w14:textId="77777777" w:rsidR="00792349" w:rsidRDefault="00792349">
      <w:pPr>
        <w:widowControl/>
        <w:spacing w:after="80"/>
        <w:ind w:left="426" w:right="370"/>
        <w:jc w:val="both"/>
        <w:rPr>
          <w:color w:val="231F20"/>
          <w:lang w:val="en-US"/>
        </w:rPr>
      </w:pPr>
    </w:p>
    <w:p w14:paraId="64E9B375" w14:textId="77777777" w:rsidR="00792349" w:rsidRDefault="00000000">
      <w:pPr>
        <w:widowControl/>
        <w:spacing w:after="80"/>
        <w:ind w:left="426" w:right="370"/>
        <w:jc w:val="both"/>
        <w:rPr>
          <w:color w:val="231F20"/>
          <w:lang w:val="en-US"/>
        </w:rPr>
      </w:pPr>
      <w:r>
        <w:rPr>
          <w:color w:val="231F20"/>
          <w:lang w:val="en-US"/>
        </w:rPr>
        <w:t xml:space="preserve">Furthermore, data available from the Ministry of Culture's rated film database allows for a more nuanced understanding of the results and explains this diversity of perspectives. During its opening weekend (September 25, 2024), </w:t>
      </w:r>
      <w:r>
        <w:rPr>
          <w:i/>
          <w:iCs/>
          <w:color w:val="231F20"/>
          <w:lang w:val="en-US"/>
        </w:rPr>
        <w:t>Soy Nevenka</w:t>
      </w:r>
      <w:r>
        <w:rPr>
          <w:color w:val="231F20"/>
          <w:lang w:val="en-US"/>
        </w:rPr>
        <w:t xml:space="preserve"> rose to the top of the Top 25 films at the box office with approximately 42,000 viewers, likely bolstered by the media impact of its presentation at the San Sebastián Festival.</w:t>
      </w:r>
    </w:p>
    <w:p w14:paraId="74967840" w14:textId="77777777" w:rsidR="00792349" w:rsidRDefault="00792349">
      <w:pPr>
        <w:widowControl/>
        <w:spacing w:after="80"/>
        <w:ind w:left="426" w:right="370"/>
        <w:jc w:val="both"/>
        <w:rPr>
          <w:color w:val="231F20"/>
          <w:lang w:val="en-US"/>
        </w:rPr>
      </w:pPr>
    </w:p>
    <w:p w14:paraId="4B902CE8" w14:textId="77777777" w:rsidR="00792349" w:rsidRDefault="00000000">
      <w:pPr>
        <w:widowControl/>
        <w:spacing w:after="80"/>
        <w:ind w:left="426" w:right="370"/>
        <w:jc w:val="both"/>
        <w:rPr>
          <w:color w:val="231F20"/>
          <w:lang w:val="en-US"/>
        </w:rPr>
      </w:pPr>
      <w:r>
        <w:rPr>
          <w:color w:val="231F20"/>
          <w:lang w:val="en-US"/>
        </w:rPr>
        <w:t xml:space="preserve">By the following week, it fell to fourth place, dethroned by three American blockbusters (among which </w:t>
      </w:r>
      <w:r>
        <w:rPr>
          <w:i/>
          <w:iCs/>
          <w:color w:val="231F20"/>
          <w:lang w:val="en-US"/>
        </w:rPr>
        <w:t>Joker: Folie à Deux</w:t>
      </w:r>
      <w:r>
        <w:rPr>
          <w:color w:val="231F20"/>
          <w:lang w:val="en-US"/>
        </w:rPr>
        <w:t xml:space="preserve"> took the top spot), and the number </w:t>
      </w:r>
      <w:r>
        <w:rPr>
          <w:color w:val="231F20"/>
          <w:lang w:val="en-US"/>
        </w:rPr>
        <w:lastRenderedPageBreak/>
        <w:t>of viewers dropped to 30,000. From that point on, its results continued to decline until it fell out of the Top 25 during the weekend of November 8.</w:t>
      </w:r>
    </w:p>
    <w:p w14:paraId="75178B48" w14:textId="77777777" w:rsidR="00792349" w:rsidRDefault="00792349">
      <w:pPr>
        <w:widowControl/>
        <w:spacing w:after="80"/>
        <w:ind w:left="426" w:right="370"/>
        <w:jc w:val="both"/>
        <w:rPr>
          <w:color w:val="231F20"/>
          <w:lang w:val="en-US"/>
        </w:rPr>
      </w:pPr>
    </w:p>
    <w:p w14:paraId="2347428B" w14:textId="62951C93" w:rsidR="00792349" w:rsidRDefault="00000000">
      <w:pPr>
        <w:widowControl/>
        <w:spacing w:after="80"/>
        <w:ind w:left="426" w:right="370"/>
        <w:jc w:val="both"/>
        <w:rPr>
          <w:color w:val="231F20"/>
          <w:lang w:val="en-US"/>
        </w:rPr>
      </w:pPr>
      <w:r>
        <w:rPr>
          <w:color w:val="231F20"/>
          <w:lang w:val="en-US"/>
        </w:rPr>
        <w:t>An analysis of these results seems to show a film falling victim to a double effect: a highly competitive context just one week after its premiere, and perhaps the absence of a "word-of-mouth" effect to bolster the usual promotional channels. According to the words of one of the producers,</w:t>
      </w:r>
      <w:r>
        <w:rPr>
          <w:i/>
          <w:iCs/>
          <w:color w:val="231F20"/>
          <w:lang w:val="en-US"/>
        </w:rPr>
        <w:t xml:space="preserve"> Soy Nevenka</w:t>
      </w:r>
      <w:r>
        <w:rPr>
          <w:color w:val="231F20"/>
          <w:lang w:val="en-US"/>
        </w:rPr>
        <w:t xml:space="preserve"> has yielded "acceptable" results (265,000 viewers and 1,400,000 euros</w:t>
      </w:r>
      <w:r w:rsidR="00BF4357">
        <w:rPr>
          <w:rStyle w:val="Refdenotaalpie"/>
          <w:color w:val="231F20"/>
          <w:lang w:val="en-US"/>
        </w:rPr>
        <w:footnoteReference w:id="8"/>
      </w:r>
      <w:r>
        <w:rPr>
          <w:color w:val="231F20"/>
          <w:lang w:val="en-US"/>
        </w:rPr>
        <w:t>), even though expectations were higher (</w:t>
      </w:r>
      <w:proofErr w:type="spellStart"/>
      <w:r>
        <w:rPr>
          <w:color w:val="231F20"/>
          <w:lang w:val="en-US"/>
        </w:rPr>
        <w:t>Redacción</w:t>
      </w:r>
      <w:proofErr w:type="spellEnd"/>
      <w:r>
        <w:rPr>
          <w:color w:val="231F20"/>
          <w:lang w:val="en-US"/>
        </w:rPr>
        <w:t xml:space="preserve"> </w:t>
      </w:r>
      <w:r>
        <w:rPr>
          <w:i/>
          <w:iCs/>
          <w:color w:val="231F20"/>
          <w:lang w:val="en-US"/>
        </w:rPr>
        <w:t>Radio Bierzo</w:t>
      </w:r>
      <w:r>
        <w:rPr>
          <w:color w:val="231F20"/>
          <w:lang w:val="en-US"/>
        </w:rPr>
        <w:t>, 2025); however, these figures may be bolstered following its release on the Movistar Plus+ platform. Additionally, it should be noted that these data reflect the status at the end of January 2025, while the film has continued its international run with presentations at various festivals across the United States and Europe since then.</w:t>
      </w:r>
    </w:p>
    <w:p w14:paraId="7FD08BDC" w14:textId="77777777" w:rsidR="00792349" w:rsidRDefault="00792349">
      <w:pPr>
        <w:widowControl/>
        <w:spacing w:after="80"/>
        <w:ind w:left="426" w:right="370"/>
        <w:jc w:val="both"/>
        <w:rPr>
          <w:color w:val="231F20"/>
          <w:lang w:val="en-US"/>
        </w:rPr>
      </w:pPr>
    </w:p>
    <w:p w14:paraId="7E926E0E" w14:textId="77777777" w:rsidR="00792349" w:rsidRDefault="00000000">
      <w:pPr>
        <w:widowControl/>
        <w:spacing w:after="80"/>
        <w:ind w:left="426" w:right="370"/>
        <w:jc w:val="both"/>
        <w:rPr>
          <w:color w:val="231F20"/>
          <w:lang w:val="en-US"/>
        </w:rPr>
      </w:pPr>
      <w:r>
        <w:rPr>
          <w:color w:val="231F20"/>
          <w:lang w:val="en-US"/>
        </w:rPr>
        <w:t>While the results are difficult to interpret due to a lack of precise data—such as the number of screening rooms, their locations, or even the average age of the audience—which would allow for a more accurate comparison, we may wonder if, proportional to its distribution, the film might have achieved better results in countries where the audience does not hold a collective memory of the "Nevenka case." This mirrors how a fiction series (</w:t>
      </w:r>
      <w:proofErr w:type="spellStart"/>
      <w:r>
        <w:rPr>
          <w:i/>
          <w:iCs/>
          <w:color w:val="231F20"/>
          <w:lang w:val="en-US"/>
        </w:rPr>
        <w:t>Intimidad</w:t>
      </w:r>
      <w:proofErr w:type="spellEnd"/>
      <w:r>
        <w:rPr>
          <w:color w:val="231F20"/>
          <w:lang w:val="en-US"/>
        </w:rPr>
        <w:t>), despite being inspired by real events without explicitly naming them, managed to achieve a broader and warmer reception than the two direct representations of this famous case.</w:t>
      </w:r>
    </w:p>
    <w:p w14:paraId="52950818" w14:textId="77777777" w:rsidR="00792349" w:rsidRDefault="00792349">
      <w:pPr>
        <w:widowControl/>
        <w:spacing w:after="80"/>
        <w:ind w:left="426" w:right="370"/>
        <w:jc w:val="both"/>
        <w:rPr>
          <w:color w:val="231F20"/>
          <w:lang w:val="en-US"/>
        </w:rPr>
      </w:pPr>
    </w:p>
    <w:p w14:paraId="3A64680C" w14:textId="77777777" w:rsidR="00792349" w:rsidRPr="00BF4357" w:rsidRDefault="00000000">
      <w:pPr>
        <w:widowControl/>
        <w:spacing w:after="80"/>
        <w:ind w:left="426" w:right="370"/>
        <w:jc w:val="both"/>
        <w:rPr>
          <w:i/>
          <w:iCs/>
          <w:color w:val="9A0203"/>
          <w:lang w:val="es-ES"/>
        </w:rPr>
      </w:pPr>
      <w:r w:rsidRPr="00BF4357">
        <w:rPr>
          <w:i/>
          <w:iCs/>
          <w:color w:val="9A0203"/>
          <w:lang w:val="es-ES"/>
        </w:rPr>
        <w:t>3.3. ¿Relatos de emancipación = relatos emancipados?</w:t>
      </w:r>
    </w:p>
    <w:p w14:paraId="38F85A58" w14:textId="77777777" w:rsidR="00792349" w:rsidRDefault="00000000">
      <w:pPr>
        <w:widowControl/>
        <w:spacing w:after="80"/>
        <w:ind w:left="426" w:right="370" w:firstLine="294"/>
        <w:jc w:val="both"/>
        <w:rPr>
          <w:i/>
          <w:iCs/>
          <w:color w:val="9A0203"/>
          <w:lang w:val="en-US"/>
        </w:rPr>
      </w:pPr>
      <w:r>
        <w:rPr>
          <w:i/>
          <w:iCs/>
          <w:color w:val="9A0203"/>
          <w:lang w:val="en-US"/>
        </w:rPr>
        <w:t xml:space="preserve">3.3.1. </w:t>
      </w:r>
      <w:proofErr w:type="spellStart"/>
      <w:r>
        <w:rPr>
          <w:i/>
          <w:iCs/>
          <w:color w:val="9A0203"/>
          <w:lang w:val="en-US"/>
        </w:rPr>
        <w:t>Intimidad</w:t>
      </w:r>
      <w:proofErr w:type="spellEnd"/>
      <w:r>
        <w:rPr>
          <w:i/>
          <w:iCs/>
          <w:color w:val="9A0203"/>
          <w:lang w:val="en-US"/>
        </w:rPr>
        <w:t xml:space="preserve"> (Privacy)</w:t>
      </w:r>
    </w:p>
    <w:p w14:paraId="2AAEAE79" w14:textId="77777777" w:rsidR="00792349" w:rsidRDefault="00000000">
      <w:pPr>
        <w:widowControl/>
        <w:spacing w:after="80"/>
        <w:ind w:left="426" w:right="370"/>
        <w:jc w:val="both"/>
        <w:rPr>
          <w:color w:val="231F20"/>
          <w:lang w:val="en-US"/>
        </w:rPr>
      </w:pPr>
      <w:r>
        <w:rPr>
          <w:color w:val="231F20"/>
          <w:lang w:val="en-US"/>
        </w:rPr>
        <w:t xml:space="preserve">The strength of </w:t>
      </w:r>
      <w:proofErr w:type="spellStart"/>
      <w:r>
        <w:rPr>
          <w:i/>
          <w:iCs/>
          <w:color w:val="231F20"/>
          <w:lang w:val="en-US"/>
        </w:rPr>
        <w:t>Intimidad</w:t>
      </w:r>
      <w:proofErr w:type="spellEnd"/>
      <w:r>
        <w:rPr>
          <w:i/>
          <w:iCs/>
          <w:color w:val="231F20"/>
          <w:lang w:val="en-US"/>
        </w:rPr>
        <w:t xml:space="preserve"> </w:t>
      </w:r>
      <w:r>
        <w:rPr>
          <w:color w:val="231F20"/>
          <w:lang w:val="en-US"/>
        </w:rPr>
        <w:t xml:space="preserve">undoubtedly lies in its ensemble cast, which allows for a plurality of identification with different experiences of harassment: a politician, a factory worker and her sister, an adolescent, and a police officer who struggles to come to terms with her own homosexuality. These protagonists are portrayed </w:t>
      </w:r>
      <w:r>
        <w:rPr>
          <w:color w:val="231F20"/>
          <w:lang w:val="en-US"/>
        </w:rPr>
        <w:lastRenderedPageBreak/>
        <w:t xml:space="preserve">by actresses with established or rising careers—recognizable faces like </w:t>
      </w:r>
      <w:proofErr w:type="spellStart"/>
      <w:r>
        <w:rPr>
          <w:color w:val="231F20"/>
          <w:lang w:val="en-US"/>
        </w:rPr>
        <w:t>Itziar</w:t>
      </w:r>
      <w:proofErr w:type="spellEnd"/>
      <w:r>
        <w:rPr>
          <w:color w:val="231F20"/>
          <w:lang w:val="en-US"/>
        </w:rPr>
        <w:t xml:space="preserve"> </w:t>
      </w:r>
      <w:proofErr w:type="spellStart"/>
      <w:r>
        <w:rPr>
          <w:color w:val="231F20"/>
          <w:lang w:val="en-US"/>
        </w:rPr>
        <w:t>Ituño</w:t>
      </w:r>
      <w:proofErr w:type="spellEnd"/>
      <w:r>
        <w:rPr>
          <w:color w:val="231F20"/>
          <w:lang w:val="en-US"/>
        </w:rPr>
        <w:t xml:space="preserve"> (Money Heist), Patricia López </w:t>
      </w:r>
      <w:proofErr w:type="spellStart"/>
      <w:r>
        <w:rPr>
          <w:color w:val="231F20"/>
          <w:lang w:val="en-US"/>
        </w:rPr>
        <w:t>Arnáiz</w:t>
      </w:r>
      <w:proofErr w:type="spellEnd"/>
      <w:r>
        <w:rPr>
          <w:color w:val="231F20"/>
          <w:lang w:val="en-US"/>
        </w:rPr>
        <w:t xml:space="preserve">, Verónica </w:t>
      </w:r>
      <w:proofErr w:type="spellStart"/>
      <w:r>
        <w:rPr>
          <w:color w:val="231F20"/>
          <w:lang w:val="en-US"/>
        </w:rPr>
        <w:t>Echegui</w:t>
      </w:r>
      <w:proofErr w:type="spellEnd"/>
      <w:r>
        <w:rPr>
          <w:color w:val="231F20"/>
          <w:lang w:val="en-US"/>
        </w:rPr>
        <w:t>, Ana Wagener, and Emma Suárez in a supporting role that gains full significance in the final episode, offering a retrospective look at the historical handling of political harassment cases.</w:t>
      </w:r>
    </w:p>
    <w:p w14:paraId="0A681CE5" w14:textId="77777777" w:rsidR="00792349" w:rsidRDefault="00792349">
      <w:pPr>
        <w:widowControl/>
        <w:spacing w:after="80"/>
        <w:ind w:left="426" w:right="370"/>
        <w:jc w:val="both"/>
        <w:rPr>
          <w:color w:val="231F20"/>
          <w:lang w:val="en-US"/>
        </w:rPr>
      </w:pPr>
    </w:p>
    <w:p w14:paraId="572934DD" w14:textId="77777777" w:rsidR="00792349" w:rsidRDefault="00000000">
      <w:pPr>
        <w:widowControl/>
        <w:spacing w:after="80"/>
        <w:ind w:left="426" w:right="370"/>
        <w:jc w:val="both"/>
        <w:rPr>
          <w:color w:val="231F20"/>
          <w:lang w:val="en-US"/>
        </w:rPr>
      </w:pPr>
      <w:r>
        <w:rPr>
          <w:color w:val="231F20"/>
          <w:lang w:val="en-US"/>
        </w:rPr>
        <w:t xml:space="preserve">The staging exploits this choral nature, taking the risk of disorienting the viewer through the recurring use of a female voice-over—the voice of the worker who committed suicide following the leak of an intimate video among her colleagues. This voice is layered over the images of the other protagonists, revealing their inner thoughts and addressing them directly until, in the final episode, all voices unite to suggest a sense of female solidarity or </w:t>
      </w:r>
      <w:proofErr w:type="spellStart"/>
      <w:r>
        <w:rPr>
          <w:color w:val="231F20"/>
          <w:lang w:val="en-US"/>
        </w:rPr>
        <w:t>sororidad</w:t>
      </w:r>
      <w:proofErr w:type="spellEnd"/>
      <w:r>
        <w:rPr>
          <w:color w:val="231F20"/>
          <w:lang w:val="en-US"/>
        </w:rPr>
        <w:t xml:space="preserve"> in an ending that is far from happy.</w:t>
      </w:r>
    </w:p>
    <w:p w14:paraId="62DDDA8D" w14:textId="77777777" w:rsidR="00792349" w:rsidRDefault="00792349">
      <w:pPr>
        <w:widowControl/>
        <w:spacing w:after="80"/>
        <w:ind w:left="426" w:right="370"/>
        <w:jc w:val="both"/>
        <w:rPr>
          <w:color w:val="231F20"/>
          <w:lang w:val="en-US"/>
        </w:rPr>
      </w:pPr>
    </w:p>
    <w:p w14:paraId="74162C03" w14:textId="77777777" w:rsidR="00792349" w:rsidRDefault="00000000">
      <w:pPr>
        <w:widowControl/>
        <w:spacing w:after="80"/>
        <w:ind w:left="426" w:right="370"/>
        <w:jc w:val="both"/>
        <w:rPr>
          <w:color w:val="231F20"/>
          <w:lang w:val="en-US"/>
        </w:rPr>
      </w:pPr>
      <w:r>
        <w:rPr>
          <w:color w:val="231F20"/>
          <w:lang w:val="en-US"/>
        </w:rPr>
        <w:t>The series also emancipates itself from its real-life inspiration regarding its chronology. In the show, the worker’s suicide occurs just before the politician suffers the leak of her own intimate video, which progressively drives her to report the facts. In reality, the case involving socialist councilwoman Olvido Hormigos led to a 2015 reform of the Penal Code—introducing the crime of non-consensual distribution of intimate content (or "revenge porn"), also known as the "</w:t>
      </w:r>
      <w:proofErr w:type="spellStart"/>
      <w:r>
        <w:rPr>
          <w:color w:val="231F20"/>
          <w:lang w:val="en-US"/>
        </w:rPr>
        <w:t>Olvido</w:t>
      </w:r>
      <w:proofErr w:type="spellEnd"/>
      <w:r>
        <w:rPr>
          <w:color w:val="231F20"/>
          <w:lang w:val="en-US"/>
        </w:rPr>
        <w:t xml:space="preserve"> clause" or "</w:t>
      </w:r>
      <w:proofErr w:type="spellStart"/>
      <w:r>
        <w:rPr>
          <w:color w:val="231F20"/>
          <w:lang w:val="en-US"/>
        </w:rPr>
        <w:t>Hormigos</w:t>
      </w:r>
      <w:proofErr w:type="spellEnd"/>
      <w:r>
        <w:rPr>
          <w:color w:val="231F20"/>
          <w:lang w:val="en-US"/>
        </w:rPr>
        <w:t xml:space="preserve"> clause." Meanwhile, the events that led to the suicide of an Iveco worker took place later, in 2019, highlighting the limited impact of that legal reform within the workplace where the victim had reported her situation (Del Barrio, 2019).</w:t>
      </w:r>
    </w:p>
    <w:p w14:paraId="11A3524C" w14:textId="77777777" w:rsidR="00792349" w:rsidRDefault="00792349">
      <w:pPr>
        <w:widowControl/>
        <w:spacing w:after="80"/>
        <w:ind w:left="426" w:right="370"/>
        <w:jc w:val="both"/>
        <w:rPr>
          <w:color w:val="231F20"/>
          <w:lang w:val="en-US"/>
        </w:rPr>
      </w:pPr>
    </w:p>
    <w:p w14:paraId="4198F3F8" w14:textId="77777777" w:rsidR="00792349" w:rsidRDefault="00000000">
      <w:pPr>
        <w:widowControl/>
        <w:spacing w:after="80"/>
        <w:ind w:left="426" w:right="370"/>
        <w:jc w:val="both"/>
        <w:rPr>
          <w:color w:val="231F20"/>
          <w:lang w:val="en-US"/>
        </w:rPr>
      </w:pPr>
      <w:r>
        <w:rPr>
          <w:color w:val="231F20"/>
          <w:lang w:val="en-US"/>
        </w:rPr>
        <w:t>This departure from the real timeline results in a progressive narrative structure, featuring female characters who liberate themselves from the patriarchal structures surrounding them (particularly Malen’s political party) and embark on a path of advocacy to avoid facing their suffering in isolation, unlike the initial victim.</w:t>
      </w:r>
    </w:p>
    <w:p w14:paraId="23D43A13" w14:textId="77777777" w:rsidR="00792349" w:rsidRDefault="00792349">
      <w:pPr>
        <w:widowControl/>
        <w:spacing w:after="80"/>
        <w:ind w:left="426" w:right="370"/>
        <w:jc w:val="both"/>
        <w:rPr>
          <w:color w:val="231F20"/>
          <w:lang w:val="en-US"/>
        </w:rPr>
      </w:pPr>
    </w:p>
    <w:p w14:paraId="1FC4C199" w14:textId="77777777" w:rsidR="00792349" w:rsidRDefault="00000000">
      <w:pPr>
        <w:widowControl/>
        <w:spacing w:after="80"/>
        <w:ind w:left="426" w:right="370"/>
        <w:jc w:val="both"/>
        <w:rPr>
          <w:color w:val="231F20"/>
          <w:lang w:val="en-US"/>
        </w:rPr>
      </w:pPr>
      <w:r>
        <w:rPr>
          <w:color w:val="231F20"/>
          <w:lang w:val="en-US"/>
        </w:rPr>
        <w:t xml:space="preserve">The filming locations (Bilbao and its surroundings) are also narratively exploited. Notable examples include Louise Bourgeois’s sculpture outside the Guggenheim Museum or the peculiar architecture of the rooftop pool at the </w:t>
      </w:r>
      <w:proofErr w:type="spellStart"/>
      <w:r>
        <w:rPr>
          <w:color w:val="231F20"/>
          <w:lang w:val="en-US"/>
        </w:rPr>
        <w:t>Azkuna</w:t>
      </w:r>
      <w:proofErr w:type="spellEnd"/>
      <w:r>
        <w:rPr>
          <w:color w:val="231F20"/>
          <w:lang w:val="en-US"/>
        </w:rPr>
        <w:t xml:space="preserve"> </w:t>
      </w:r>
      <w:proofErr w:type="spellStart"/>
      <w:r>
        <w:rPr>
          <w:color w:val="231F20"/>
          <w:lang w:val="en-US"/>
        </w:rPr>
        <w:t>Zentroa</w:t>
      </w:r>
      <w:proofErr w:type="spellEnd"/>
      <w:r>
        <w:rPr>
          <w:color w:val="231F20"/>
          <w:lang w:val="en-US"/>
        </w:rPr>
        <w:t xml:space="preserve"> (as noted by </w:t>
      </w:r>
      <w:proofErr w:type="spellStart"/>
      <w:r>
        <w:rPr>
          <w:color w:val="231F20"/>
          <w:lang w:val="en-US"/>
        </w:rPr>
        <w:t>Brasil</w:t>
      </w:r>
      <w:proofErr w:type="spellEnd"/>
      <w:r>
        <w:rPr>
          <w:color w:val="231F20"/>
          <w:lang w:val="en-US"/>
        </w:rPr>
        <w:t xml:space="preserve"> Campos Rodríguez, 2024). This use of space prioritizes market demands over strict realism, as—except for a few scenes in educational settings—the characters speak in Spanish rather than Basque.</w:t>
      </w:r>
    </w:p>
    <w:p w14:paraId="5A43C420" w14:textId="77777777" w:rsidR="00792349" w:rsidRDefault="00792349">
      <w:pPr>
        <w:widowControl/>
        <w:spacing w:after="80"/>
        <w:ind w:right="370"/>
        <w:jc w:val="both"/>
        <w:rPr>
          <w:color w:val="231F20"/>
          <w:lang w:val="en-US"/>
        </w:rPr>
      </w:pPr>
    </w:p>
    <w:p w14:paraId="74C7ECA5" w14:textId="77777777" w:rsidR="00792349" w:rsidRDefault="00000000">
      <w:pPr>
        <w:widowControl/>
        <w:spacing w:after="80"/>
        <w:ind w:left="426" w:right="370" w:firstLine="294"/>
        <w:jc w:val="both"/>
        <w:rPr>
          <w:i/>
          <w:iCs/>
          <w:color w:val="9A0203"/>
          <w:lang w:val="en-US"/>
        </w:rPr>
      </w:pPr>
      <w:r>
        <w:rPr>
          <w:i/>
          <w:iCs/>
          <w:color w:val="9A0203"/>
          <w:lang w:val="en-US"/>
        </w:rPr>
        <w:t>3.3.2. Nevenka</w:t>
      </w:r>
    </w:p>
    <w:p w14:paraId="34CE5ACC" w14:textId="77777777" w:rsidR="00792349" w:rsidRDefault="00000000">
      <w:pPr>
        <w:widowControl/>
        <w:spacing w:after="80"/>
        <w:ind w:left="426" w:right="370"/>
        <w:jc w:val="both"/>
        <w:rPr>
          <w:color w:val="231F20"/>
          <w:lang w:val="en-US"/>
        </w:rPr>
      </w:pPr>
      <w:r>
        <w:rPr>
          <w:color w:val="231F20"/>
          <w:lang w:val="en-US"/>
        </w:rPr>
        <w:lastRenderedPageBreak/>
        <w:t xml:space="preserve">Regarding </w:t>
      </w:r>
      <w:r>
        <w:rPr>
          <w:i/>
          <w:iCs/>
          <w:color w:val="231F20"/>
          <w:lang w:val="en-US"/>
        </w:rPr>
        <w:t>Nevenka</w:t>
      </w:r>
      <w:r>
        <w:rPr>
          <w:color w:val="231F20"/>
          <w:lang w:val="en-US"/>
        </w:rPr>
        <w:t xml:space="preserve">, the </w:t>
      </w:r>
      <w:proofErr w:type="spellStart"/>
      <w:r>
        <w:rPr>
          <w:color w:val="231F20"/>
          <w:lang w:val="en-US"/>
        </w:rPr>
        <w:t>docuserie’s</w:t>
      </w:r>
      <w:proofErr w:type="spellEnd"/>
      <w:r>
        <w:rPr>
          <w:color w:val="231F20"/>
          <w:lang w:val="en-US"/>
        </w:rPr>
        <w:t xml:space="preserve"> format does not initially present itself as groundbreaking. Its three episodes, with a combined duration (between 34 and 41 minutes each) roughly equivalent to a feature film, replicate the idea of a flashback structured as a three-act drama: it moves backward from Nevenka’s resignation and complaint to the unexpected recruitment of a young Nevenka Fernández into Ismael Álvarez’s municipal team, followed by the harassment and her eventual realization of the "point of no return" (Nevenka’s flight to Madrid), and finally the legal complaint, the trial, and the media and social pressure.</w:t>
      </w:r>
    </w:p>
    <w:p w14:paraId="6B7E0A77" w14:textId="77777777" w:rsidR="00792349" w:rsidRDefault="00792349">
      <w:pPr>
        <w:widowControl/>
        <w:spacing w:after="80"/>
        <w:ind w:left="426" w:right="370"/>
        <w:jc w:val="both"/>
        <w:rPr>
          <w:color w:val="231F20"/>
          <w:lang w:val="en-US"/>
        </w:rPr>
      </w:pPr>
    </w:p>
    <w:p w14:paraId="5D646693" w14:textId="77777777" w:rsidR="00792349" w:rsidRDefault="00000000">
      <w:pPr>
        <w:widowControl/>
        <w:spacing w:after="80"/>
        <w:ind w:left="426" w:right="370"/>
        <w:jc w:val="both"/>
        <w:rPr>
          <w:color w:val="231F20"/>
          <w:lang w:val="en-US"/>
        </w:rPr>
      </w:pPr>
      <w:r>
        <w:rPr>
          <w:color w:val="231F20"/>
          <w:lang w:val="en-US"/>
        </w:rPr>
        <w:t xml:space="preserve">Testimonies are gathered (with witnesses seated in a neutral set facing the camera) from the main figures involved—though only those who were professionally linked to the case (the lawyer, the psychiatrists, opposition politician Charo Velasco from the PSOE, journalist Ana Gaitero, and writer J.J. Millás). </w:t>
      </w:r>
      <w:r>
        <w:rPr>
          <w:color w:val="231F20"/>
          <w:highlight w:val="magenta"/>
          <w:lang w:val="en-US"/>
        </w:rPr>
        <w:t>These</w:t>
      </w:r>
      <w:r>
        <w:rPr>
          <w:color w:val="231F20"/>
          <w:lang w:val="en-US"/>
        </w:rPr>
        <w:t xml:space="preserve"> are intercut and illustrated with archival footage from various media outlets (both broadcast and print).</w:t>
      </w:r>
    </w:p>
    <w:p w14:paraId="6FBFEC3E" w14:textId="77777777" w:rsidR="00792349" w:rsidRDefault="00792349">
      <w:pPr>
        <w:widowControl/>
        <w:spacing w:after="80"/>
        <w:ind w:left="426" w:right="370"/>
        <w:jc w:val="both"/>
        <w:rPr>
          <w:color w:val="231F20"/>
          <w:lang w:val="en-US"/>
        </w:rPr>
      </w:pPr>
    </w:p>
    <w:p w14:paraId="30D6F45F" w14:textId="77777777" w:rsidR="00792349" w:rsidRDefault="00000000">
      <w:pPr>
        <w:widowControl/>
        <w:spacing w:after="80"/>
        <w:ind w:left="426" w:right="370"/>
        <w:jc w:val="both"/>
        <w:rPr>
          <w:color w:val="231F20"/>
          <w:lang w:val="en-US"/>
        </w:rPr>
      </w:pPr>
      <w:r>
        <w:rPr>
          <w:color w:val="231F20"/>
          <w:lang w:val="en-US"/>
        </w:rPr>
        <w:t xml:space="preserve">However, within this fairly sober setup, several elements infiltrate the narrative to produce an insidious rupture—one that might not be noticed during a standard viewing but leaves the spectator in an uncomfortable position, forced to adopt an active stance to fill the gaps in narrative coherence. The concept of the "ignition point," developed by González Requena and defined in the following terms (González Requena, 1999), can be perfectly applied to what one experiences on several occasions during the viewing of the </w:t>
      </w:r>
      <w:r>
        <w:rPr>
          <w:i/>
          <w:iCs/>
          <w:color w:val="231F20"/>
          <w:highlight w:val="magenta"/>
          <w:lang w:val="en-US"/>
        </w:rPr>
        <w:t>Nevenka</w:t>
      </w:r>
      <w:r>
        <w:rPr>
          <w:color w:val="231F20"/>
          <w:lang w:val="en-US"/>
        </w:rPr>
        <w:t xml:space="preserve"> docuseries:</w:t>
      </w:r>
    </w:p>
    <w:p w14:paraId="41699F14" w14:textId="77777777" w:rsidR="00792349" w:rsidRDefault="00792349">
      <w:pPr>
        <w:widowControl/>
        <w:spacing w:after="80"/>
        <w:ind w:left="426" w:right="370"/>
        <w:jc w:val="both"/>
        <w:rPr>
          <w:color w:val="231F20"/>
          <w:lang w:val="en-US"/>
        </w:rPr>
      </w:pPr>
    </w:p>
    <w:p w14:paraId="0C088F72" w14:textId="77777777" w:rsidR="00792349" w:rsidRDefault="00792349">
      <w:pPr>
        <w:widowControl/>
        <w:spacing w:after="80"/>
        <w:ind w:right="370"/>
        <w:jc w:val="both"/>
        <w:rPr>
          <w:color w:val="231F20"/>
          <w:lang w:val="en-US"/>
        </w:rPr>
      </w:pPr>
    </w:p>
    <w:p w14:paraId="3F73BF56" w14:textId="77777777" w:rsidR="00792349" w:rsidRDefault="00000000">
      <w:pPr>
        <w:widowControl/>
        <w:spacing w:after="80"/>
        <w:ind w:left="1134" w:right="675"/>
        <w:jc w:val="both"/>
        <w:rPr>
          <w:color w:val="95351F"/>
          <w:sz w:val="20"/>
          <w:szCs w:val="20"/>
          <w:lang w:val="en-US"/>
        </w:rPr>
      </w:pPr>
      <w:r>
        <w:rPr>
          <w:color w:val="95351F"/>
          <w:sz w:val="20"/>
          <w:szCs w:val="20"/>
          <w:lang w:val="en-US"/>
        </w:rPr>
        <w:t xml:space="preserve">The subject makes itself present in the text as a structural deficit that takes the form of a fissure, or a breaking point in its fabric. Something for which we propose the name 'ignition point,' as these are the points that, in our experience as readers, interest us while simultaneously burning us: places in the text where the discourse it contains reveals itself to be </w:t>
      </w:r>
      <w:r>
        <w:rPr>
          <w:color w:val="95351F"/>
          <w:sz w:val="20"/>
          <w:szCs w:val="20"/>
          <w:highlight w:val="magenta"/>
          <w:lang w:val="en-US"/>
        </w:rPr>
        <w:t>split</w:t>
      </w:r>
      <w:r>
        <w:rPr>
          <w:color w:val="95351F"/>
          <w:sz w:val="20"/>
          <w:szCs w:val="20"/>
          <w:lang w:val="en-US"/>
        </w:rPr>
        <w:t>. Two things can be said about that fissure that constitutes the ignition point. The first: that, from the perspective of functional discourses, it manifests as a deficit, a breakdown of its logical coherence. The second, this time from the subject's perspective—of the experience that it undergoes within them—that it hurts: for the subject recognizes itself precisely insofar as it feels, within them, its own burn.</w:t>
      </w:r>
    </w:p>
    <w:p w14:paraId="5680258D" w14:textId="77777777" w:rsidR="00792349" w:rsidRDefault="00792349">
      <w:pPr>
        <w:widowControl/>
        <w:spacing w:after="80"/>
        <w:ind w:left="1134" w:right="675"/>
        <w:jc w:val="both"/>
        <w:rPr>
          <w:color w:val="95351F"/>
          <w:sz w:val="20"/>
          <w:szCs w:val="20"/>
          <w:lang w:val="en-US"/>
        </w:rPr>
      </w:pPr>
    </w:p>
    <w:p w14:paraId="0D2D6DDD" w14:textId="77777777" w:rsidR="00792349" w:rsidRDefault="00792349">
      <w:pPr>
        <w:widowControl/>
        <w:spacing w:after="80"/>
        <w:ind w:left="1134" w:right="675"/>
        <w:jc w:val="both"/>
        <w:rPr>
          <w:color w:val="95351F"/>
          <w:sz w:val="20"/>
          <w:szCs w:val="20"/>
          <w:lang w:val="en-US"/>
        </w:rPr>
      </w:pPr>
    </w:p>
    <w:p w14:paraId="22DC7062" w14:textId="77777777" w:rsidR="00792349" w:rsidRDefault="00000000">
      <w:pPr>
        <w:widowControl/>
        <w:spacing w:after="80"/>
        <w:ind w:left="426" w:right="370"/>
        <w:jc w:val="both"/>
        <w:rPr>
          <w:color w:val="231F20"/>
          <w:lang w:val="en-US"/>
        </w:rPr>
      </w:pPr>
      <w:r>
        <w:rPr>
          <w:color w:val="231F20"/>
          <w:lang w:val="en-US"/>
        </w:rPr>
        <w:t xml:space="preserve">One of these elements is the superimposition of the voices of the Nevenka from 2001, reading her resignation statement at a press conference, and the Nevenka from 2021, performing the same reading for the camera. The similarity between both voices and intonations despite the passage of time—and, above all, the </w:t>
      </w:r>
      <w:r>
        <w:rPr>
          <w:color w:val="231F20"/>
          <w:lang w:val="en-US"/>
        </w:rPr>
        <w:lastRenderedPageBreak/>
        <w:t>visible emotion of the speaker, who is unable to hold back tears (which she did manage to do during the original reading 20 years earlier)—speaks louder than a thousand statements about the long-term effects of the harassment she suffered.</w:t>
      </w:r>
    </w:p>
    <w:p w14:paraId="7DD022CF" w14:textId="77777777" w:rsidR="00792349" w:rsidRDefault="00792349">
      <w:pPr>
        <w:widowControl/>
        <w:spacing w:after="80"/>
        <w:ind w:left="426" w:right="370"/>
        <w:jc w:val="both"/>
        <w:rPr>
          <w:color w:val="231F20"/>
          <w:lang w:val="en-US"/>
        </w:rPr>
      </w:pPr>
    </w:p>
    <w:p w14:paraId="34D45CC8" w14:textId="77777777" w:rsidR="00792349" w:rsidRDefault="00000000">
      <w:pPr>
        <w:widowControl/>
        <w:spacing w:after="80"/>
        <w:ind w:left="426" w:right="370"/>
        <w:jc w:val="both"/>
        <w:rPr>
          <w:color w:val="231F20"/>
          <w:lang w:val="en-US"/>
        </w:rPr>
      </w:pPr>
      <w:r>
        <w:rPr>
          <w:color w:val="231F20"/>
          <w:lang w:val="en-US"/>
        </w:rPr>
        <w:t xml:space="preserve">The other disruptive element is the recurring insertion (twice in each of the first two episodes) of an image showing a red fish surrounded by gray fish in a small aquarium. For those who have not read </w:t>
      </w:r>
      <w:proofErr w:type="spellStart"/>
      <w:r>
        <w:rPr>
          <w:color w:val="231F20"/>
          <w:lang w:val="en-US"/>
        </w:rPr>
        <w:t>Millás's</w:t>
      </w:r>
      <w:proofErr w:type="spellEnd"/>
      <w:r>
        <w:rPr>
          <w:color w:val="231F20"/>
          <w:lang w:val="en-US"/>
        </w:rPr>
        <w:t xml:space="preserve"> book, the metaphor likely remains quite mysterious and unusual at first, especially in an audiovisual language expected to be didactic and explicit. It is the writer's voice that clarifies it, identifying Nevenka as the "red fish" dropped into a corporation whose rules she does not command.</w:t>
      </w:r>
    </w:p>
    <w:p w14:paraId="51F8289E" w14:textId="77777777" w:rsidR="00792349" w:rsidRDefault="00792349">
      <w:pPr>
        <w:widowControl/>
        <w:spacing w:after="80"/>
        <w:ind w:left="426" w:right="370"/>
        <w:jc w:val="both"/>
        <w:rPr>
          <w:color w:val="231F20"/>
          <w:lang w:val="en-US"/>
        </w:rPr>
      </w:pPr>
    </w:p>
    <w:p w14:paraId="383B0593" w14:textId="77777777" w:rsidR="00792349" w:rsidRDefault="00000000">
      <w:pPr>
        <w:widowControl/>
        <w:spacing w:after="80"/>
        <w:ind w:left="426" w:right="370"/>
        <w:jc w:val="both"/>
        <w:rPr>
          <w:color w:val="231F20"/>
          <w:lang w:val="en-US"/>
        </w:rPr>
      </w:pPr>
      <w:r>
        <w:rPr>
          <w:color w:val="231F20"/>
          <w:lang w:val="en-US"/>
        </w:rPr>
        <w:t xml:space="preserve">The visual continuity—perhaps involuntary—with Nevenka’s red sweater accentuates the power of this rhetorical and poetic image. This animalization awakens compassion and a protective instinct in the viewer, even more so when, in Chapter 2, we witness the disappearance of the red fish as an illustration of Nevenka’s words: "my life was in danger." Here, one can clearly perceive how the influence of </w:t>
      </w:r>
      <w:proofErr w:type="spellStart"/>
      <w:r>
        <w:rPr>
          <w:color w:val="231F20"/>
          <w:lang w:val="en-US"/>
        </w:rPr>
        <w:t>Millás's</w:t>
      </w:r>
      <w:proofErr w:type="spellEnd"/>
      <w:r>
        <w:rPr>
          <w:color w:val="231F20"/>
          <w:lang w:val="en-US"/>
        </w:rPr>
        <w:t xml:space="preserve"> text provides both a hallmark of prestige and a creative freedom to a documentary language that emancipates itself from the traditional canons of the genre.</w:t>
      </w:r>
    </w:p>
    <w:p w14:paraId="4B519984" w14:textId="77777777" w:rsidR="00792349" w:rsidRDefault="00792349">
      <w:pPr>
        <w:widowControl/>
        <w:spacing w:after="80"/>
        <w:ind w:left="426" w:right="370"/>
        <w:jc w:val="both"/>
        <w:rPr>
          <w:color w:val="9A0203"/>
          <w:lang w:val="en-US"/>
        </w:rPr>
      </w:pPr>
    </w:p>
    <w:p w14:paraId="147B30E0" w14:textId="77777777" w:rsidR="00792349" w:rsidRDefault="00000000">
      <w:pPr>
        <w:widowControl/>
        <w:spacing w:after="80"/>
        <w:ind w:left="426" w:right="370" w:firstLine="294"/>
        <w:jc w:val="both"/>
        <w:rPr>
          <w:color w:val="9A0203"/>
          <w:lang w:val="en-US"/>
        </w:rPr>
      </w:pPr>
      <w:r>
        <w:rPr>
          <w:color w:val="9A0203"/>
          <w:lang w:val="en-US"/>
        </w:rPr>
        <w:t xml:space="preserve">3.3.3. </w:t>
      </w:r>
      <w:r>
        <w:rPr>
          <w:i/>
          <w:iCs/>
          <w:color w:val="9A0203"/>
          <w:highlight w:val="magenta"/>
          <w:lang w:val="en-US"/>
        </w:rPr>
        <w:t>Soy Nevenka (I am Nevenka)</w:t>
      </w:r>
    </w:p>
    <w:p w14:paraId="550EC5A2" w14:textId="77777777" w:rsidR="00792349" w:rsidRDefault="00000000">
      <w:pPr>
        <w:widowControl/>
        <w:spacing w:after="80"/>
        <w:ind w:left="426" w:right="370"/>
        <w:jc w:val="both"/>
        <w:rPr>
          <w:color w:val="231F20"/>
          <w:lang w:val="en-US"/>
        </w:rPr>
      </w:pPr>
      <w:r>
        <w:rPr>
          <w:color w:val="231F20"/>
          <w:lang w:val="en-US"/>
        </w:rPr>
        <w:t xml:space="preserve">Regarding </w:t>
      </w:r>
      <w:r>
        <w:rPr>
          <w:i/>
          <w:iCs/>
          <w:color w:val="231F20"/>
          <w:highlight w:val="magenta"/>
          <w:lang w:val="en-US"/>
        </w:rPr>
        <w:t>Soy Nevenka</w:t>
      </w:r>
      <w:r>
        <w:rPr>
          <w:color w:val="231F20"/>
          <w:lang w:val="en-US"/>
        </w:rPr>
        <w:t>, it is difficult to speak of an emancipated narrative. We are faced with a most classic cinematic narrative. The search for realism—or rather, the "reality effect"—is limited to the constant use of a handheld camera, the inclusion of archival footage of demonstrations in support of the Mayor of Ponferrada, Ismael Álvarez, and a cast that avoids famous faces in search of a physical resemblance to the protagonists who appeared in the media (Mireia Oriol finds her first significant leading role here, while Urko Olazabal is more accustomed to supporting roles).</w:t>
      </w:r>
    </w:p>
    <w:p w14:paraId="32C0C3E6" w14:textId="77777777" w:rsidR="00792349" w:rsidRDefault="00792349">
      <w:pPr>
        <w:widowControl/>
        <w:spacing w:after="80"/>
        <w:ind w:left="426" w:right="370"/>
        <w:jc w:val="both"/>
        <w:rPr>
          <w:color w:val="231F20"/>
          <w:lang w:val="en-US"/>
        </w:rPr>
      </w:pPr>
    </w:p>
    <w:p w14:paraId="2828258C" w14:textId="77777777" w:rsidR="00792349" w:rsidRDefault="00000000">
      <w:pPr>
        <w:widowControl/>
        <w:spacing w:after="80"/>
        <w:ind w:left="426" w:right="370"/>
        <w:jc w:val="both"/>
        <w:rPr>
          <w:color w:val="231F20"/>
          <w:lang w:val="en-US"/>
        </w:rPr>
      </w:pPr>
      <w:r>
        <w:rPr>
          <w:color w:val="231F20"/>
          <w:lang w:val="en-US"/>
        </w:rPr>
        <w:t xml:space="preserve">Contrary to these traditional "reality effect" techniques, it is surprising that </w:t>
      </w:r>
      <w:proofErr w:type="spellStart"/>
      <w:r>
        <w:rPr>
          <w:color w:val="231F20"/>
          <w:lang w:val="en-US"/>
        </w:rPr>
        <w:t>Bollaín</w:t>
      </w:r>
      <w:proofErr w:type="spellEnd"/>
      <w:r>
        <w:rPr>
          <w:color w:val="231F20"/>
          <w:lang w:val="en-US"/>
        </w:rPr>
        <w:t xml:space="preserve"> seems to yield to industry exigencies regarding the role of Lucas, Nevenka's partner and supporter, played by Ricardo Gómez—an actor popularized by his role as Benjamín in the Alcantara family in Spain’s longest-running television series, </w:t>
      </w:r>
      <w:proofErr w:type="spellStart"/>
      <w:r>
        <w:rPr>
          <w:i/>
          <w:iCs/>
          <w:color w:val="231F20"/>
          <w:lang w:val="en-US"/>
        </w:rPr>
        <w:t>Cuéntame</w:t>
      </w:r>
      <w:proofErr w:type="spellEnd"/>
      <w:r>
        <w:rPr>
          <w:i/>
          <w:iCs/>
          <w:color w:val="231F20"/>
          <w:lang w:val="en-US"/>
        </w:rPr>
        <w:t xml:space="preserve"> </w:t>
      </w:r>
      <w:proofErr w:type="spellStart"/>
      <w:r>
        <w:rPr>
          <w:i/>
          <w:iCs/>
          <w:color w:val="231F20"/>
          <w:lang w:val="en-US"/>
        </w:rPr>
        <w:t>cómo</w:t>
      </w:r>
      <w:proofErr w:type="spellEnd"/>
      <w:r>
        <w:rPr>
          <w:i/>
          <w:iCs/>
          <w:color w:val="231F20"/>
          <w:lang w:val="en-US"/>
        </w:rPr>
        <w:t xml:space="preserve"> </w:t>
      </w:r>
      <w:proofErr w:type="spellStart"/>
      <w:r>
        <w:rPr>
          <w:i/>
          <w:iCs/>
          <w:color w:val="231F20"/>
          <w:lang w:val="en-US"/>
        </w:rPr>
        <w:t>pasó</w:t>
      </w:r>
      <w:proofErr w:type="spellEnd"/>
      <w:r>
        <w:rPr>
          <w:color w:val="231F20"/>
          <w:lang w:val="en-US"/>
        </w:rPr>
        <w:t xml:space="preserve"> (2001-2023).</w:t>
      </w:r>
    </w:p>
    <w:p w14:paraId="27354148" w14:textId="77777777" w:rsidR="00792349" w:rsidRDefault="00792349">
      <w:pPr>
        <w:widowControl/>
        <w:spacing w:after="80"/>
        <w:ind w:left="426" w:right="370"/>
        <w:jc w:val="both"/>
        <w:rPr>
          <w:color w:val="231F20"/>
          <w:lang w:val="en-US"/>
        </w:rPr>
      </w:pPr>
    </w:p>
    <w:p w14:paraId="41161D54" w14:textId="77777777" w:rsidR="00792349" w:rsidRDefault="00000000">
      <w:pPr>
        <w:widowControl/>
        <w:spacing w:after="80"/>
        <w:ind w:left="426" w:right="370"/>
        <w:jc w:val="both"/>
        <w:rPr>
          <w:color w:val="231F20"/>
          <w:lang w:val="en-US"/>
        </w:rPr>
      </w:pPr>
      <w:r>
        <w:rPr>
          <w:color w:val="231F20"/>
          <w:lang w:val="en-US"/>
        </w:rPr>
        <w:t xml:space="preserve">While it is true that the scarce appearances of this figure in the media allow a recognized actor to interpret his role without being bound to physical resemblance, it nevertheless creates an imbalance between the neutrality with </w:t>
      </w:r>
      <w:r>
        <w:rPr>
          <w:color w:val="231F20"/>
          <w:lang w:val="en-US"/>
        </w:rPr>
        <w:lastRenderedPageBreak/>
        <w:t>which a viewer who does not know the case approaches the other characters and the "sympathy capital" available to the character played by Gómez. This casting choice, combined with other observations, seems to steer the reading toward a vision that is not at all groundbreaking regarding gender roles.</w:t>
      </w:r>
    </w:p>
    <w:p w14:paraId="087005DF" w14:textId="77777777" w:rsidR="00792349" w:rsidRDefault="00792349">
      <w:pPr>
        <w:widowControl/>
        <w:spacing w:after="80"/>
        <w:ind w:left="426" w:right="370"/>
        <w:jc w:val="both"/>
        <w:rPr>
          <w:color w:val="231F20"/>
          <w:lang w:val="en-US"/>
        </w:rPr>
      </w:pPr>
    </w:p>
    <w:p w14:paraId="4C9DF422" w14:textId="430AFC8E" w:rsidR="00792349" w:rsidRDefault="00000000">
      <w:pPr>
        <w:widowControl/>
        <w:spacing w:after="80"/>
        <w:ind w:left="426" w:right="370"/>
        <w:jc w:val="both"/>
        <w:rPr>
          <w:color w:val="231F20"/>
          <w:lang w:val="en-US"/>
        </w:rPr>
      </w:pPr>
      <w:r>
        <w:rPr>
          <w:color w:val="231F20"/>
          <w:lang w:val="en-US"/>
        </w:rPr>
        <w:t xml:space="preserve">Unlike what happens, for example, in </w:t>
      </w:r>
      <w:proofErr w:type="spellStart"/>
      <w:r>
        <w:rPr>
          <w:i/>
          <w:iCs/>
          <w:color w:val="231F20"/>
          <w:lang w:val="en-US"/>
        </w:rPr>
        <w:t>Intimidad</w:t>
      </w:r>
      <w:proofErr w:type="spellEnd"/>
      <w:r>
        <w:rPr>
          <w:color w:val="231F20"/>
          <w:lang w:val="en-US"/>
        </w:rPr>
        <w:t xml:space="preserve">, </w:t>
      </w:r>
      <w:proofErr w:type="spellStart"/>
      <w:r>
        <w:rPr>
          <w:color w:val="231F20"/>
          <w:lang w:val="en-US"/>
        </w:rPr>
        <w:t>Bollaín</w:t>
      </w:r>
      <w:proofErr w:type="spellEnd"/>
      <w:r>
        <w:rPr>
          <w:color w:val="231F20"/>
          <w:lang w:val="en-US"/>
        </w:rPr>
        <w:t xml:space="preserve"> never seeks to give the viewer access to Nevenka's interiority. Although the protagonist's journey unfolds between the opening sequence—where we see her arriving at her apartment in an obvious panic crisis—and a final image showing her leaving the court after her aggressor's conviction, taking a few steps and moving away from her parents and boyfriend (who remain blurred in the background, as if she had finally regained some autonomy</w:t>
      </w:r>
      <w:r w:rsidR="00BF4357">
        <w:rPr>
          <w:rStyle w:val="Refdenotaalpie"/>
          <w:color w:val="231F20"/>
          <w:lang w:val="en-US"/>
        </w:rPr>
        <w:footnoteReference w:id="9"/>
      </w:r>
      <w:r>
        <w:rPr>
          <w:color w:val="231F20"/>
          <w:lang w:val="en-US"/>
        </w:rPr>
        <w:t>), it is striking how the protagonist needs the external gaze (of her friends, a psychologist, and particularly her lawyer and boyfriend) to begin to realize the harassment she is suffering and to rid herself of Ismael's toxic influence and report him.</w:t>
      </w:r>
    </w:p>
    <w:p w14:paraId="62AB9810" w14:textId="77777777" w:rsidR="00792349" w:rsidRDefault="00792349">
      <w:pPr>
        <w:widowControl/>
        <w:spacing w:after="80"/>
        <w:ind w:left="426" w:right="370"/>
        <w:jc w:val="both"/>
        <w:rPr>
          <w:color w:val="231F20"/>
          <w:lang w:val="en-US"/>
        </w:rPr>
      </w:pPr>
    </w:p>
    <w:p w14:paraId="6BF5843D" w14:textId="77777777" w:rsidR="00792349" w:rsidRDefault="00000000">
      <w:pPr>
        <w:widowControl/>
        <w:spacing w:after="80"/>
        <w:ind w:left="426" w:right="370"/>
        <w:jc w:val="both"/>
        <w:rPr>
          <w:color w:val="231F20"/>
          <w:lang w:val="en-US"/>
        </w:rPr>
      </w:pPr>
      <w:r>
        <w:rPr>
          <w:color w:val="231F20"/>
          <w:lang w:val="en-US"/>
        </w:rPr>
        <w:t>In one particular sequence, it is Lucas who asserts his authority by throwing Nevenka's mother out of her apartment (01:13:11-01:15:40) because she insists on claiming her daughter is anorexic and asking her to return home and resign from her post as councilwoman. This male character is thus constructed as an antagonist to the harasser, a modern-day hero, a positive, understanding, and reassuring image of protective masculinity in contrast to Ismael's toxic, aggressive, and patriarchal masculinity.</w:t>
      </w:r>
    </w:p>
    <w:p w14:paraId="44DEFD9D" w14:textId="77777777" w:rsidR="00792349" w:rsidRDefault="00000000">
      <w:pPr>
        <w:widowControl/>
        <w:spacing w:after="80"/>
        <w:ind w:left="426" w:right="370"/>
        <w:jc w:val="both"/>
        <w:rPr>
          <w:color w:val="231F20"/>
          <w:lang w:val="en-US"/>
        </w:rPr>
      </w:pPr>
      <w:r>
        <w:rPr>
          <w:color w:val="231F20"/>
          <w:lang w:val="en-US"/>
        </w:rPr>
        <w:t>Although the figure of Lucas exists and likely represented an indisputable support for Nevenka, we may wonder to what extent the casting choice, as well as his construction within the narrative, amplifies this role to satisfy or, at the very least, avoid challenging the male audience.</w:t>
      </w:r>
    </w:p>
    <w:p w14:paraId="39B447C7" w14:textId="77777777" w:rsidR="00792349" w:rsidRDefault="00792349">
      <w:pPr>
        <w:widowControl/>
        <w:spacing w:after="80"/>
        <w:ind w:left="426" w:right="370"/>
        <w:jc w:val="both"/>
        <w:rPr>
          <w:color w:val="231F20"/>
          <w:lang w:val="en-US"/>
        </w:rPr>
      </w:pPr>
    </w:p>
    <w:p w14:paraId="54326BAB" w14:textId="77777777" w:rsidR="00792349" w:rsidRDefault="00000000">
      <w:pPr>
        <w:widowControl/>
        <w:spacing w:after="80"/>
        <w:ind w:left="426" w:right="370"/>
        <w:jc w:val="both"/>
        <w:rPr>
          <w:color w:val="231F20"/>
          <w:lang w:val="en-US"/>
        </w:rPr>
      </w:pPr>
      <w:r>
        <w:rPr>
          <w:color w:val="231F20"/>
          <w:lang w:val="en-US"/>
        </w:rPr>
        <w:t xml:space="preserve">Obviously, this interest in offering an alternative masculine model is inherited from </w:t>
      </w:r>
      <w:proofErr w:type="spellStart"/>
      <w:r>
        <w:rPr>
          <w:color w:val="231F20"/>
          <w:lang w:val="en-US"/>
        </w:rPr>
        <w:t>Millás's</w:t>
      </w:r>
      <w:proofErr w:type="spellEnd"/>
      <w:r>
        <w:rPr>
          <w:color w:val="231F20"/>
          <w:lang w:val="en-US"/>
        </w:rPr>
        <w:t xml:space="preserve"> account; however, while it follows a certain logic within the writer's career and at the time of its writing (2004), it appears somewhat anachronistic in a film arriving 20 years later and following other audiovisual creations. Could it be that cinema belongs to other times? Or is it that </w:t>
      </w:r>
      <w:proofErr w:type="spellStart"/>
      <w:r>
        <w:rPr>
          <w:color w:val="231F20"/>
          <w:lang w:val="en-US"/>
        </w:rPr>
        <w:t>Bollaín’s</w:t>
      </w:r>
      <w:proofErr w:type="spellEnd"/>
      <w:r>
        <w:rPr>
          <w:color w:val="231F20"/>
          <w:lang w:val="en-US"/>
        </w:rPr>
        <w:t xml:space="preserve"> cinema is, ultimately, a classic cinema that fails to dispense with heroes and settle for heroines—one that seeks emotion more than reflection and, above all, deconstruction (Fernández, 2024 and Téllez Brotóns, 2024)?</w:t>
      </w:r>
    </w:p>
    <w:p w14:paraId="2D5958D0" w14:textId="77777777" w:rsidR="00792349" w:rsidRDefault="00792349">
      <w:pPr>
        <w:widowControl/>
        <w:spacing w:after="80"/>
        <w:ind w:left="426" w:right="370"/>
        <w:jc w:val="both"/>
        <w:rPr>
          <w:color w:val="231F20"/>
          <w:sz w:val="20"/>
          <w:szCs w:val="20"/>
          <w:lang w:val="en-US"/>
        </w:rPr>
      </w:pPr>
    </w:p>
    <w:p w14:paraId="57B0E74C" w14:textId="77777777" w:rsidR="00792349" w:rsidRDefault="00000000">
      <w:pPr>
        <w:pStyle w:val="Ttulo2"/>
        <w:widowControl/>
        <w:rPr>
          <w:lang w:val="en-US"/>
        </w:rPr>
      </w:pPr>
      <w:bookmarkStart w:id="4" w:name="_heading=h.2kg5y2h0764d"/>
      <w:bookmarkEnd w:id="4"/>
      <w:r>
        <w:rPr>
          <w:lang w:val="en-US"/>
        </w:rPr>
        <w:t>4. Discussion and conclusions</w:t>
      </w:r>
    </w:p>
    <w:p w14:paraId="38A6303E" w14:textId="77777777" w:rsidR="00792349" w:rsidRDefault="00792349">
      <w:pPr>
        <w:widowControl/>
        <w:spacing w:after="80"/>
        <w:ind w:left="426" w:right="370"/>
        <w:jc w:val="both"/>
        <w:rPr>
          <w:color w:val="231F20"/>
          <w:sz w:val="20"/>
          <w:szCs w:val="20"/>
          <w:lang w:val="en-US"/>
        </w:rPr>
      </w:pPr>
    </w:p>
    <w:p w14:paraId="5A9587FF" w14:textId="77777777" w:rsidR="00792349" w:rsidRDefault="00000000">
      <w:pPr>
        <w:widowControl/>
        <w:spacing w:after="80"/>
        <w:ind w:left="426" w:right="370"/>
        <w:jc w:val="both"/>
        <w:rPr>
          <w:color w:val="231F20"/>
          <w:sz w:val="20"/>
          <w:szCs w:val="20"/>
          <w:lang w:val="en-US"/>
        </w:rPr>
      </w:pPr>
      <w:r>
        <w:rPr>
          <w:color w:val="231F20"/>
          <w:sz w:val="20"/>
          <w:szCs w:val="20"/>
          <w:lang w:val="en-US"/>
        </w:rPr>
        <w:lastRenderedPageBreak/>
        <w:t>A recent study on the integration of entertainment formats into VOD platforms concludes that these services are increasingly resembling traditional television:</w:t>
      </w:r>
    </w:p>
    <w:p w14:paraId="358F3ACC" w14:textId="77777777" w:rsidR="00792349" w:rsidRDefault="00792349">
      <w:pPr>
        <w:widowControl/>
        <w:spacing w:after="80"/>
        <w:ind w:right="675"/>
        <w:jc w:val="both"/>
        <w:rPr>
          <w:color w:val="95351F"/>
          <w:sz w:val="18"/>
          <w:szCs w:val="18"/>
          <w:lang w:val="en-US"/>
        </w:rPr>
      </w:pPr>
    </w:p>
    <w:p w14:paraId="52CF72EF" w14:textId="77777777" w:rsidR="00792349" w:rsidRDefault="00000000">
      <w:pPr>
        <w:widowControl/>
        <w:spacing w:after="80"/>
        <w:ind w:left="1134" w:right="675"/>
        <w:jc w:val="both"/>
        <w:rPr>
          <w:color w:val="95351F"/>
          <w:sz w:val="18"/>
          <w:szCs w:val="18"/>
          <w:lang w:val="en-US"/>
        </w:rPr>
      </w:pPr>
      <w:r>
        <w:rPr>
          <w:color w:val="95351F"/>
          <w:sz w:val="18"/>
          <w:szCs w:val="18"/>
          <w:lang w:val="en-US"/>
        </w:rPr>
        <w:t>the evolution of VOD in the last ten years replicates some of the dynamics characteristic of periods of monopoly, competition, and proliferation [...]. The “new” television looks more and more like the “old” television (Gallo y Fernández-</w:t>
      </w:r>
      <w:proofErr w:type="spellStart"/>
      <w:r>
        <w:rPr>
          <w:color w:val="95351F"/>
          <w:sz w:val="18"/>
          <w:szCs w:val="18"/>
          <w:lang w:val="en-US"/>
        </w:rPr>
        <w:t>Herruzo</w:t>
      </w:r>
      <w:proofErr w:type="spellEnd"/>
      <w:r>
        <w:rPr>
          <w:color w:val="95351F"/>
          <w:sz w:val="18"/>
          <w:szCs w:val="18"/>
          <w:lang w:val="en-US"/>
        </w:rPr>
        <w:t xml:space="preserve">, 2025). </w:t>
      </w:r>
    </w:p>
    <w:p w14:paraId="7B7917F5" w14:textId="77777777" w:rsidR="00792349" w:rsidRDefault="00000000">
      <w:pPr>
        <w:widowControl/>
        <w:spacing w:after="80"/>
        <w:ind w:left="426" w:right="370"/>
        <w:jc w:val="both"/>
        <w:rPr>
          <w:color w:val="231F20"/>
          <w:sz w:val="20"/>
          <w:szCs w:val="20"/>
          <w:lang w:val="en-US"/>
        </w:rPr>
      </w:pPr>
      <w:r>
        <w:rPr>
          <w:color w:val="231F20"/>
          <w:sz w:val="20"/>
          <w:szCs w:val="20"/>
          <w:lang w:val="en-US"/>
        </w:rPr>
        <w:t>The comparative analysis of three formats (Netflix fiction, Netflix documentary miniseries, and feature film) inspired by two real-life cases of anti-harassment policies leads us to conclusions that largely oppose those of the aforementioned study. In fact, it tends to show rather innovative approaches by the platform—unevenly rewarded in terms of viewership—compared to a cinema that increasingly resembles traditional television in its search for stories already depicted from various angles, staged to evoke emotion and foster cohesion rather than to critique or provoke reflection.</w:t>
      </w:r>
    </w:p>
    <w:p w14:paraId="6F9909BD" w14:textId="77777777" w:rsidR="00792349" w:rsidRDefault="00792349">
      <w:pPr>
        <w:widowControl/>
        <w:spacing w:after="80"/>
        <w:ind w:left="426" w:right="370"/>
        <w:jc w:val="both"/>
        <w:rPr>
          <w:color w:val="231F20"/>
          <w:sz w:val="20"/>
          <w:szCs w:val="20"/>
          <w:lang w:val="en-US"/>
        </w:rPr>
      </w:pPr>
    </w:p>
    <w:p w14:paraId="5D177BB0" w14:textId="77777777" w:rsidR="00792349" w:rsidRDefault="00000000">
      <w:pPr>
        <w:widowControl/>
        <w:spacing w:after="80"/>
        <w:ind w:left="426" w:right="370"/>
        <w:jc w:val="both"/>
        <w:rPr>
          <w:color w:val="231F20"/>
          <w:sz w:val="20"/>
          <w:szCs w:val="20"/>
          <w:lang w:val="en-US"/>
        </w:rPr>
      </w:pPr>
      <w:r>
        <w:rPr>
          <w:color w:val="231F20"/>
          <w:sz w:val="20"/>
          <w:szCs w:val="20"/>
          <w:lang w:val="en-US"/>
        </w:rPr>
        <w:t>This finding, therefore, invites us to nuance the conclusions of the cited general study based on our focus on these three productions. In other words, the general trend highlighted by that study is not necessarily reflected in every production, and there are exceptions that deviate from the global pattern. Furthermore, our study proposes a first step toward completing the aforementioned reflection by asking to what extent this phenomenon of repeating traditional television patterns might affect not only VOD but also cinema.</w:t>
      </w:r>
    </w:p>
    <w:p w14:paraId="68F0FBA8" w14:textId="77777777" w:rsidR="00792349" w:rsidRDefault="00792349">
      <w:pPr>
        <w:widowControl/>
        <w:spacing w:after="80"/>
        <w:ind w:left="426" w:right="370"/>
        <w:jc w:val="both"/>
        <w:rPr>
          <w:color w:val="231F20"/>
          <w:sz w:val="20"/>
          <w:szCs w:val="20"/>
          <w:lang w:val="en-US"/>
        </w:rPr>
      </w:pPr>
    </w:p>
    <w:p w14:paraId="7FF34B5F" w14:textId="77777777" w:rsidR="00792349" w:rsidRDefault="00000000">
      <w:pPr>
        <w:widowControl/>
        <w:spacing w:after="80"/>
        <w:ind w:left="426" w:right="370"/>
        <w:jc w:val="both"/>
        <w:rPr>
          <w:color w:val="231F20"/>
          <w:sz w:val="20"/>
          <w:szCs w:val="20"/>
          <w:lang w:val="en-US"/>
        </w:rPr>
      </w:pPr>
      <w:r>
        <w:rPr>
          <w:color w:val="231F20"/>
          <w:sz w:val="20"/>
          <w:szCs w:val="20"/>
          <w:lang w:val="en-US"/>
        </w:rPr>
        <w:t xml:space="preserve">On the other hand, the temporal distance from the events is treated inconsistently. The miniseries </w:t>
      </w:r>
      <w:r>
        <w:rPr>
          <w:i/>
          <w:iCs/>
          <w:color w:val="231F20"/>
          <w:sz w:val="20"/>
          <w:szCs w:val="20"/>
          <w:lang w:val="en-US"/>
        </w:rPr>
        <w:t xml:space="preserve">Nevenka </w:t>
      </w:r>
      <w:r>
        <w:rPr>
          <w:color w:val="231F20"/>
          <w:sz w:val="20"/>
          <w:szCs w:val="20"/>
          <w:lang w:val="en-US"/>
        </w:rPr>
        <w:t xml:space="preserve">offers a critical reflection in the form of a </w:t>
      </w:r>
      <w:proofErr w:type="spellStart"/>
      <w:r>
        <w:rPr>
          <w:color w:val="231F20"/>
          <w:sz w:val="20"/>
          <w:szCs w:val="20"/>
          <w:lang w:val="en-US"/>
        </w:rPr>
        <w:t>mea</w:t>
      </w:r>
      <w:proofErr w:type="spellEnd"/>
      <w:r>
        <w:rPr>
          <w:color w:val="231F20"/>
          <w:sz w:val="20"/>
          <w:szCs w:val="20"/>
          <w:lang w:val="en-US"/>
        </w:rPr>
        <w:t xml:space="preserve"> culpa from the news media itself, following the example of Juan José Millás, who wrote an account of the case after covering it for his columns in </w:t>
      </w:r>
      <w:r>
        <w:rPr>
          <w:i/>
          <w:iCs/>
          <w:color w:val="231F20"/>
          <w:sz w:val="20"/>
          <w:szCs w:val="20"/>
          <w:lang w:val="en-US"/>
        </w:rPr>
        <w:t>El País</w:t>
      </w:r>
      <w:r>
        <w:rPr>
          <w:color w:val="231F20"/>
          <w:sz w:val="20"/>
          <w:szCs w:val="20"/>
          <w:lang w:val="en-US"/>
        </w:rPr>
        <w:t xml:space="preserve"> at the time. </w:t>
      </w:r>
      <w:proofErr w:type="spellStart"/>
      <w:r>
        <w:rPr>
          <w:i/>
          <w:iCs/>
          <w:color w:val="231F20"/>
          <w:sz w:val="20"/>
          <w:szCs w:val="20"/>
          <w:lang w:val="en-US"/>
        </w:rPr>
        <w:t>Intimidad</w:t>
      </w:r>
      <w:proofErr w:type="spellEnd"/>
      <w:r>
        <w:rPr>
          <w:i/>
          <w:iCs/>
          <w:color w:val="231F20"/>
          <w:sz w:val="20"/>
          <w:szCs w:val="20"/>
          <w:lang w:val="en-US"/>
        </w:rPr>
        <w:t xml:space="preserve"> </w:t>
      </w:r>
      <w:r>
        <w:rPr>
          <w:color w:val="231F20"/>
          <w:sz w:val="20"/>
          <w:szCs w:val="20"/>
          <w:lang w:val="en-US"/>
        </w:rPr>
        <w:t xml:space="preserve">recreates the </w:t>
      </w:r>
      <w:proofErr w:type="spellStart"/>
      <w:r>
        <w:rPr>
          <w:color w:val="231F20"/>
          <w:sz w:val="20"/>
          <w:szCs w:val="20"/>
          <w:lang w:val="en-US"/>
        </w:rPr>
        <w:t>Hormigos</w:t>
      </w:r>
      <w:proofErr w:type="spellEnd"/>
      <w:r>
        <w:rPr>
          <w:color w:val="231F20"/>
          <w:sz w:val="20"/>
          <w:szCs w:val="20"/>
          <w:lang w:val="en-US"/>
        </w:rPr>
        <w:t xml:space="preserve"> and </w:t>
      </w:r>
      <w:proofErr w:type="spellStart"/>
      <w:r>
        <w:rPr>
          <w:color w:val="231F20"/>
          <w:sz w:val="20"/>
          <w:szCs w:val="20"/>
          <w:lang w:val="en-US"/>
        </w:rPr>
        <w:t>Ivanco</w:t>
      </w:r>
      <w:proofErr w:type="spellEnd"/>
      <w:r>
        <w:rPr>
          <w:color w:val="231F20"/>
          <w:sz w:val="20"/>
          <w:szCs w:val="20"/>
          <w:lang w:val="en-US"/>
        </w:rPr>
        <w:t xml:space="preserve"> cases as contemporary but, by reversing their chronology, imagines a social progress that unfortunately does not exist, although linking them allows individual cases to be framed as a societal issue.</w:t>
      </w:r>
    </w:p>
    <w:p w14:paraId="339F7891" w14:textId="77777777" w:rsidR="00792349" w:rsidRDefault="00792349">
      <w:pPr>
        <w:widowControl/>
        <w:spacing w:after="80"/>
        <w:ind w:left="426" w:right="370"/>
        <w:jc w:val="both"/>
        <w:rPr>
          <w:color w:val="231F20"/>
          <w:sz w:val="20"/>
          <w:szCs w:val="20"/>
          <w:lang w:val="en-US"/>
        </w:rPr>
      </w:pPr>
    </w:p>
    <w:p w14:paraId="07E132AA" w14:textId="77777777" w:rsidR="00792349" w:rsidRDefault="00000000">
      <w:pPr>
        <w:widowControl/>
        <w:spacing w:after="80"/>
        <w:ind w:left="426" w:right="370"/>
        <w:jc w:val="both"/>
        <w:rPr>
          <w:color w:val="231F20"/>
          <w:sz w:val="20"/>
          <w:szCs w:val="20"/>
          <w:lang w:val="en-US"/>
        </w:rPr>
      </w:pPr>
      <w:r>
        <w:rPr>
          <w:color w:val="231F20"/>
          <w:sz w:val="20"/>
          <w:szCs w:val="20"/>
          <w:lang w:val="en-US"/>
        </w:rPr>
        <w:t xml:space="preserve">As for </w:t>
      </w:r>
      <w:proofErr w:type="spellStart"/>
      <w:r>
        <w:rPr>
          <w:color w:val="231F20"/>
          <w:sz w:val="20"/>
          <w:szCs w:val="20"/>
          <w:lang w:val="en-US"/>
        </w:rPr>
        <w:t>Bollaín’s</w:t>
      </w:r>
      <w:proofErr w:type="spellEnd"/>
      <w:r>
        <w:rPr>
          <w:color w:val="231F20"/>
          <w:sz w:val="20"/>
          <w:szCs w:val="20"/>
          <w:lang w:val="en-US"/>
        </w:rPr>
        <w:t xml:space="preserve"> film, it emphasizes Nevenka Fernández’s legal victory as a moving tribute to a pioneering woman in her struggle, while leaving out of the cinematic narrative any reflection on the public and media harassment she suffered as a result of her report.</w:t>
      </w:r>
    </w:p>
    <w:p w14:paraId="65614B05" w14:textId="77777777" w:rsidR="00792349" w:rsidRDefault="00000000">
      <w:pPr>
        <w:widowControl/>
        <w:spacing w:after="80"/>
        <w:ind w:left="426" w:right="370"/>
        <w:jc w:val="both"/>
        <w:rPr>
          <w:color w:val="231F20"/>
          <w:sz w:val="20"/>
          <w:szCs w:val="20"/>
          <w:lang w:val="en-US"/>
        </w:rPr>
      </w:pPr>
      <w:r>
        <w:rPr>
          <w:color w:val="231F20"/>
          <w:sz w:val="20"/>
          <w:szCs w:val="20"/>
          <w:lang w:val="en-US"/>
        </w:rPr>
        <w:t>“Too much history, too little cinema,” summarized a review of this film (Fernández, 2024). Paraphrasing it, we might ask regarding these three productions: plenty of history, but how much creation? And, above all, how much female gaze—or female bodies filmed as subjects of desire (Brey, 2020)—versus the traditional objectification of figures (particularly female ones) in audiovisual media (the so-called male gaze—Mulvey, 1975)? We could summarize these nuances among the three analyzed formats by saying they range from a “luckily, we are no longer that sexist” (</w:t>
      </w:r>
      <w:r>
        <w:rPr>
          <w:i/>
          <w:iCs/>
          <w:color w:val="231F20"/>
          <w:sz w:val="20"/>
          <w:szCs w:val="20"/>
          <w:lang w:val="en-US"/>
        </w:rPr>
        <w:t>Soy Nevenka</w:t>
      </w:r>
      <w:r>
        <w:rPr>
          <w:color w:val="231F20"/>
          <w:sz w:val="20"/>
          <w:szCs w:val="20"/>
          <w:lang w:val="en-US"/>
        </w:rPr>
        <w:t>) to an “unfortunately, we have been that sexist—and perhaps we still are” (</w:t>
      </w:r>
      <w:r>
        <w:rPr>
          <w:i/>
          <w:iCs/>
          <w:color w:val="231F20"/>
          <w:sz w:val="20"/>
          <w:szCs w:val="20"/>
          <w:lang w:val="en-US"/>
        </w:rPr>
        <w:t>Nevenka</w:t>
      </w:r>
      <w:r>
        <w:rPr>
          <w:color w:val="231F20"/>
          <w:sz w:val="20"/>
          <w:szCs w:val="20"/>
          <w:lang w:val="en-US"/>
        </w:rPr>
        <w:t xml:space="preserve">, </w:t>
      </w:r>
      <w:proofErr w:type="spellStart"/>
      <w:r>
        <w:rPr>
          <w:i/>
          <w:iCs/>
          <w:color w:val="231F20"/>
          <w:sz w:val="20"/>
          <w:szCs w:val="20"/>
          <w:lang w:val="en-US"/>
        </w:rPr>
        <w:t>Intimidad</w:t>
      </w:r>
      <w:proofErr w:type="spellEnd"/>
      <w:r>
        <w:rPr>
          <w:color w:val="231F20"/>
          <w:sz w:val="20"/>
          <w:szCs w:val="20"/>
          <w:lang w:val="en-US"/>
        </w:rPr>
        <w:t>). This is likely the key to why these stories, and the way they are told, interest one type of audiovisual medium over another.</w:t>
      </w:r>
    </w:p>
    <w:p w14:paraId="6087DF8C" w14:textId="77777777" w:rsidR="00792349" w:rsidRDefault="00792349">
      <w:pPr>
        <w:widowControl/>
        <w:spacing w:after="80"/>
        <w:ind w:left="426" w:right="370"/>
        <w:jc w:val="both"/>
        <w:rPr>
          <w:b/>
          <w:bCs/>
          <w:color w:val="9A0203"/>
          <w:sz w:val="28"/>
          <w:szCs w:val="28"/>
          <w:lang w:val="en-US"/>
        </w:rPr>
      </w:pPr>
    </w:p>
    <w:p w14:paraId="5797EACE" w14:textId="77777777" w:rsidR="00792349" w:rsidRPr="00BF4357" w:rsidRDefault="00000000">
      <w:pPr>
        <w:pStyle w:val="Ttulo2"/>
        <w:rPr>
          <w:lang w:val="en-US"/>
        </w:rPr>
      </w:pPr>
      <w:bookmarkStart w:id="5" w:name="_heading=h.cyrul4st2o9u"/>
      <w:bookmarkEnd w:id="5"/>
      <w:r w:rsidRPr="00BF4357">
        <w:rPr>
          <w:lang w:val="en-US"/>
        </w:rPr>
        <w:lastRenderedPageBreak/>
        <w:t>5. References</w:t>
      </w:r>
    </w:p>
    <w:p w14:paraId="7A17BEB8" w14:textId="77777777" w:rsidR="00792349" w:rsidRPr="00BF4357" w:rsidRDefault="00792349">
      <w:pPr>
        <w:widowControl/>
        <w:spacing w:after="80"/>
        <w:ind w:left="426" w:right="370"/>
        <w:jc w:val="both"/>
        <w:rPr>
          <w:color w:val="231F20"/>
          <w:sz w:val="20"/>
          <w:szCs w:val="20"/>
          <w:lang w:val="en-US"/>
        </w:rPr>
      </w:pPr>
    </w:p>
    <w:p w14:paraId="7BFC8988" w14:textId="77777777" w:rsidR="00792349" w:rsidRPr="00BF4357" w:rsidRDefault="00000000">
      <w:pPr>
        <w:pStyle w:val="Ttulo1"/>
        <w:widowControl/>
        <w:spacing w:after="80"/>
        <w:ind w:left="426"/>
        <w:rPr>
          <w:lang w:val="en-US"/>
        </w:rPr>
      </w:pPr>
      <w:sdt>
        <w:sdtPr>
          <w:rPr>
            <w:lang w:val="en-US"/>
          </w:rPr>
          <w:tag w:val="goog_rdk_3"/>
          <w:id w:val="-1392909351"/>
          <w:text/>
        </w:sdtPr>
        <w:sdtContent>
          <w:r w:rsidRPr="00BF4357">
            <w:rPr>
              <w:rFonts w:ascii="Garamond" w:eastAsia="Garamond" w:hAnsi="Garamond" w:cs="Garamond"/>
              <w:i/>
              <w:iCs/>
              <w:color w:val="98361E"/>
              <w:lang w:val="en-US"/>
            </w:rPr>
            <w:t>5.1. General studies on audiovisual media</w:t>
          </w:r>
        </w:sdtContent>
      </w:sdt>
    </w:p>
    <w:p w14:paraId="22352DCE" w14:textId="77777777" w:rsidR="00792349" w:rsidRPr="00BF4357" w:rsidRDefault="00000000">
      <w:pPr>
        <w:widowControl/>
        <w:spacing w:after="80"/>
        <w:ind w:left="426" w:right="370"/>
        <w:jc w:val="both"/>
        <w:rPr>
          <w:color w:val="231F20"/>
          <w:sz w:val="20"/>
          <w:szCs w:val="20"/>
          <w:lang w:val="en-US"/>
        </w:rPr>
      </w:pPr>
      <w:r w:rsidRPr="00BF4357">
        <w:rPr>
          <w:color w:val="231F20"/>
          <w:sz w:val="20"/>
          <w:szCs w:val="20"/>
          <w:lang w:val="en-US"/>
        </w:rPr>
        <w:t xml:space="preserve">Brey, I. (2020). </w:t>
      </w:r>
      <w:r w:rsidRPr="00BF4357">
        <w:rPr>
          <w:i/>
          <w:iCs/>
          <w:color w:val="231F20"/>
          <w:sz w:val="20"/>
          <w:szCs w:val="20"/>
          <w:lang w:val="en-US"/>
        </w:rPr>
        <w:t xml:space="preserve">Le regard </w:t>
      </w:r>
      <w:proofErr w:type="spellStart"/>
      <w:r w:rsidRPr="00BF4357">
        <w:rPr>
          <w:i/>
          <w:iCs/>
          <w:color w:val="231F20"/>
          <w:sz w:val="20"/>
          <w:szCs w:val="20"/>
          <w:lang w:val="en-US"/>
        </w:rPr>
        <w:t>féminin</w:t>
      </w:r>
      <w:proofErr w:type="spellEnd"/>
      <w:r w:rsidRPr="00BF4357">
        <w:rPr>
          <w:i/>
          <w:iCs/>
          <w:color w:val="231F20"/>
          <w:sz w:val="20"/>
          <w:szCs w:val="20"/>
          <w:lang w:val="en-US"/>
        </w:rPr>
        <w:t xml:space="preserve">. Une </w:t>
      </w:r>
      <w:proofErr w:type="spellStart"/>
      <w:r w:rsidRPr="00BF4357">
        <w:rPr>
          <w:i/>
          <w:iCs/>
          <w:color w:val="231F20"/>
          <w:sz w:val="20"/>
          <w:szCs w:val="20"/>
          <w:lang w:val="en-US"/>
        </w:rPr>
        <w:t>révolution</w:t>
      </w:r>
      <w:proofErr w:type="spellEnd"/>
      <w:r w:rsidRPr="00BF4357">
        <w:rPr>
          <w:i/>
          <w:iCs/>
          <w:color w:val="231F20"/>
          <w:sz w:val="20"/>
          <w:szCs w:val="20"/>
          <w:lang w:val="en-US"/>
        </w:rPr>
        <w:t xml:space="preserve"> à </w:t>
      </w:r>
      <w:proofErr w:type="spellStart"/>
      <w:r w:rsidRPr="00BF4357">
        <w:rPr>
          <w:i/>
          <w:iCs/>
          <w:color w:val="231F20"/>
          <w:sz w:val="20"/>
          <w:szCs w:val="20"/>
          <w:lang w:val="en-US"/>
        </w:rPr>
        <w:t>l’écran</w:t>
      </w:r>
      <w:proofErr w:type="spellEnd"/>
      <w:r w:rsidRPr="00BF4357">
        <w:rPr>
          <w:i/>
          <w:iCs/>
          <w:color w:val="231F20"/>
          <w:sz w:val="20"/>
          <w:szCs w:val="20"/>
          <w:lang w:val="en-US"/>
        </w:rPr>
        <w:t xml:space="preserve">. </w:t>
      </w:r>
      <w:r w:rsidRPr="00BF4357">
        <w:rPr>
          <w:color w:val="231F20"/>
          <w:sz w:val="20"/>
          <w:szCs w:val="20"/>
          <w:lang w:val="en-US"/>
        </w:rPr>
        <w:t xml:space="preserve">Éditions de </w:t>
      </w:r>
      <w:proofErr w:type="spellStart"/>
      <w:r w:rsidRPr="00BF4357">
        <w:rPr>
          <w:color w:val="231F20"/>
          <w:sz w:val="20"/>
          <w:szCs w:val="20"/>
          <w:lang w:val="en-US"/>
        </w:rPr>
        <w:t>l’Olivier</w:t>
      </w:r>
      <w:proofErr w:type="spellEnd"/>
      <w:r w:rsidRPr="00BF4357">
        <w:rPr>
          <w:color w:val="231F20"/>
          <w:sz w:val="20"/>
          <w:szCs w:val="20"/>
          <w:lang w:val="en-US"/>
        </w:rPr>
        <w:t>.</w:t>
      </w:r>
    </w:p>
    <w:p w14:paraId="6D2AF400" w14:textId="77777777" w:rsidR="00792349" w:rsidRPr="00BF4357" w:rsidRDefault="00000000">
      <w:pPr>
        <w:widowControl/>
        <w:spacing w:after="80"/>
        <w:ind w:left="426" w:right="370"/>
        <w:jc w:val="both"/>
        <w:rPr>
          <w:color w:val="231F20"/>
          <w:sz w:val="20"/>
          <w:szCs w:val="20"/>
          <w:lang w:val="en-GB"/>
        </w:rPr>
      </w:pPr>
      <w:r w:rsidRPr="00BF4357">
        <w:rPr>
          <w:color w:val="231F20"/>
          <w:sz w:val="20"/>
          <w:szCs w:val="20"/>
          <w:lang w:val="en-US"/>
        </w:rPr>
        <w:t>Gallo, P., Fernández-</w:t>
      </w:r>
      <w:proofErr w:type="spellStart"/>
      <w:r w:rsidRPr="00BF4357">
        <w:rPr>
          <w:color w:val="231F20"/>
          <w:sz w:val="20"/>
          <w:szCs w:val="20"/>
          <w:lang w:val="en-US"/>
        </w:rPr>
        <w:t>Heruzo</w:t>
      </w:r>
      <w:proofErr w:type="spellEnd"/>
      <w:r w:rsidRPr="00BF4357">
        <w:rPr>
          <w:color w:val="231F20"/>
          <w:sz w:val="20"/>
          <w:szCs w:val="20"/>
          <w:lang w:val="en-US"/>
        </w:rPr>
        <w:t xml:space="preserve">, J. I. (2025). </w:t>
      </w:r>
      <w:r w:rsidRPr="00BF4357">
        <w:rPr>
          <w:color w:val="231F20"/>
          <w:sz w:val="20"/>
          <w:szCs w:val="20"/>
          <w:lang w:val="en-GB"/>
        </w:rPr>
        <w:t xml:space="preserve">“Entertainment formats on demand. Publishing and </w:t>
      </w:r>
      <w:proofErr w:type="spellStart"/>
      <w:r w:rsidRPr="00BF4357">
        <w:rPr>
          <w:color w:val="231F20"/>
          <w:sz w:val="20"/>
          <w:szCs w:val="20"/>
          <w:lang w:val="en-GB"/>
        </w:rPr>
        <w:t>comercial</w:t>
      </w:r>
      <w:proofErr w:type="spellEnd"/>
      <w:r w:rsidRPr="00BF4357">
        <w:rPr>
          <w:color w:val="231F20"/>
          <w:sz w:val="20"/>
          <w:szCs w:val="20"/>
          <w:lang w:val="en-GB"/>
        </w:rPr>
        <w:t xml:space="preserve"> strategies through </w:t>
      </w:r>
      <w:proofErr w:type="spellStart"/>
      <w:r w:rsidRPr="00BF4357">
        <w:rPr>
          <w:i/>
          <w:iCs/>
          <w:color w:val="231F20"/>
          <w:sz w:val="20"/>
          <w:szCs w:val="20"/>
          <w:lang w:val="en-GB"/>
        </w:rPr>
        <w:t>Operación</w:t>
      </w:r>
      <w:proofErr w:type="spellEnd"/>
      <w:r w:rsidRPr="00BF4357">
        <w:rPr>
          <w:i/>
          <w:iCs/>
          <w:color w:val="231F20"/>
          <w:sz w:val="20"/>
          <w:szCs w:val="20"/>
          <w:lang w:val="en-GB"/>
        </w:rPr>
        <w:t xml:space="preserve"> Triunfo</w:t>
      </w:r>
      <w:r w:rsidRPr="00BF4357">
        <w:rPr>
          <w:color w:val="231F20"/>
          <w:sz w:val="20"/>
          <w:szCs w:val="20"/>
          <w:lang w:val="en-GB"/>
        </w:rPr>
        <w:t xml:space="preserve"> 2023 in Prime Video”. </w:t>
      </w:r>
      <w:proofErr w:type="spellStart"/>
      <w:r w:rsidRPr="00BF4357">
        <w:rPr>
          <w:i/>
          <w:iCs/>
          <w:color w:val="231F20"/>
          <w:sz w:val="20"/>
          <w:szCs w:val="20"/>
          <w:lang w:val="en-GB"/>
        </w:rPr>
        <w:t>MedieKultur</w:t>
      </w:r>
      <w:proofErr w:type="spellEnd"/>
      <w:r w:rsidRPr="00BF4357">
        <w:rPr>
          <w:i/>
          <w:iCs/>
          <w:color w:val="231F20"/>
          <w:sz w:val="20"/>
          <w:szCs w:val="20"/>
          <w:lang w:val="en-GB"/>
        </w:rPr>
        <w:t>. Journal of media and communication research</w:t>
      </w:r>
      <w:r w:rsidRPr="00BF4357">
        <w:rPr>
          <w:color w:val="231F20"/>
          <w:sz w:val="20"/>
          <w:szCs w:val="20"/>
          <w:lang w:val="en-GB"/>
        </w:rPr>
        <w:t xml:space="preserve">, Society of Media researchers in Denmark, (78), pp. 81-101, </w:t>
      </w:r>
      <w:hyperlink r:id="rId15">
        <w:r w:rsidRPr="00BF4357">
          <w:rPr>
            <w:color w:val="0000FF"/>
            <w:sz w:val="20"/>
            <w:szCs w:val="20"/>
            <w:u w:val="single"/>
            <w:lang w:val="en-GB"/>
          </w:rPr>
          <w:t>www.smid.dk</w:t>
        </w:r>
      </w:hyperlink>
    </w:p>
    <w:p w14:paraId="23DF9EBC" w14:textId="77777777" w:rsidR="00792349" w:rsidRDefault="00000000">
      <w:pPr>
        <w:widowControl/>
        <w:spacing w:after="80"/>
        <w:ind w:left="426" w:right="370"/>
        <w:jc w:val="both"/>
        <w:rPr>
          <w:color w:val="231F20"/>
          <w:sz w:val="20"/>
          <w:szCs w:val="20"/>
        </w:rPr>
      </w:pPr>
      <w:proofErr w:type="spellStart"/>
      <w:r>
        <w:rPr>
          <w:color w:val="231F20"/>
          <w:sz w:val="20"/>
          <w:szCs w:val="20"/>
        </w:rPr>
        <w:t>Gonzalez</w:t>
      </w:r>
      <w:proofErr w:type="spellEnd"/>
      <w:r>
        <w:rPr>
          <w:color w:val="231F20"/>
          <w:sz w:val="20"/>
          <w:szCs w:val="20"/>
        </w:rPr>
        <w:t xml:space="preserve"> Requena, J. (1999). “Pasión, </w:t>
      </w:r>
      <w:proofErr w:type="spellStart"/>
      <w:r>
        <w:rPr>
          <w:color w:val="231F20"/>
          <w:sz w:val="20"/>
          <w:szCs w:val="20"/>
        </w:rPr>
        <w:t>procession</w:t>
      </w:r>
      <w:proofErr w:type="spellEnd"/>
      <w:r>
        <w:rPr>
          <w:color w:val="231F20"/>
          <w:sz w:val="20"/>
          <w:szCs w:val="20"/>
        </w:rPr>
        <w:t xml:space="preserve">, símbolo”. </w:t>
      </w:r>
      <w:r>
        <w:rPr>
          <w:i/>
          <w:iCs/>
          <w:color w:val="231F20"/>
          <w:sz w:val="20"/>
          <w:szCs w:val="20"/>
        </w:rPr>
        <w:t>Trama y fondo</w:t>
      </w:r>
      <w:r>
        <w:rPr>
          <w:color w:val="231F20"/>
          <w:sz w:val="20"/>
          <w:szCs w:val="20"/>
        </w:rPr>
        <w:t xml:space="preserve">, 6, Madrid, pp. 7-20. </w:t>
      </w:r>
      <w:hyperlink r:id="rId16">
        <w:r>
          <w:rPr>
            <w:color w:val="0000FF"/>
            <w:sz w:val="20"/>
            <w:szCs w:val="20"/>
            <w:u w:val="single"/>
          </w:rPr>
          <w:t>http://tramayfondo.com/revista/libros/53/6_Jesus-Gonzalez-Requena.pdf</w:t>
        </w:r>
      </w:hyperlink>
    </w:p>
    <w:p w14:paraId="54D95A27" w14:textId="77777777" w:rsidR="00792349" w:rsidRDefault="00000000">
      <w:pPr>
        <w:widowControl/>
        <w:spacing w:after="80"/>
        <w:ind w:left="426" w:right="370"/>
        <w:jc w:val="both"/>
        <w:rPr>
          <w:color w:val="231F20"/>
          <w:sz w:val="20"/>
          <w:szCs w:val="20"/>
        </w:rPr>
      </w:pPr>
      <w:r>
        <w:rPr>
          <w:color w:val="231F20"/>
          <w:sz w:val="20"/>
          <w:szCs w:val="20"/>
        </w:rPr>
        <w:t xml:space="preserve">Mulvey, L. (1975). </w:t>
      </w:r>
      <w:r w:rsidRPr="00BF4357">
        <w:rPr>
          <w:color w:val="231F20"/>
          <w:sz w:val="20"/>
          <w:szCs w:val="20"/>
          <w:lang w:val="en-GB"/>
        </w:rPr>
        <w:t xml:space="preserve">“Visual pleasure and narrative cinema”. </w:t>
      </w:r>
      <w:r>
        <w:rPr>
          <w:i/>
          <w:iCs/>
          <w:color w:val="231F20"/>
          <w:sz w:val="20"/>
          <w:szCs w:val="20"/>
        </w:rPr>
        <w:t>Screen</w:t>
      </w:r>
      <w:r>
        <w:rPr>
          <w:color w:val="231F20"/>
          <w:sz w:val="20"/>
          <w:szCs w:val="20"/>
        </w:rPr>
        <w:t xml:space="preserve">, </w:t>
      </w:r>
      <w:r>
        <w:rPr>
          <w:i/>
          <w:iCs/>
          <w:color w:val="231F20"/>
          <w:sz w:val="20"/>
          <w:szCs w:val="20"/>
        </w:rPr>
        <w:t>16</w:t>
      </w:r>
      <w:r>
        <w:rPr>
          <w:color w:val="231F20"/>
          <w:sz w:val="20"/>
          <w:szCs w:val="20"/>
        </w:rPr>
        <w:t xml:space="preserve">(3). </w:t>
      </w:r>
    </w:p>
    <w:p w14:paraId="31646B6D" w14:textId="77777777" w:rsidR="00792349" w:rsidRDefault="00792349">
      <w:pPr>
        <w:widowControl/>
        <w:spacing w:after="80"/>
        <w:ind w:left="426" w:right="370"/>
        <w:jc w:val="both"/>
        <w:rPr>
          <w:b/>
          <w:bCs/>
          <w:color w:val="231F20"/>
          <w:sz w:val="20"/>
          <w:szCs w:val="20"/>
        </w:rPr>
      </w:pPr>
    </w:p>
    <w:p w14:paraId="747A0598" w14:textId="77777777" w:rsidR="00792349" w:rsidRDefault="00000000">
      <w:pPr>
        <w:pStyle w:val="Ttulo1"/>
        <w:widowControl/>
        <w:spacing w:after="80"/>
        <w:ind w:left="426"/>
        <w:rPr>
          <w:rFonts w:ascii="Garamond" w:eastAsia="Garamond" w:hAnsi="Garamond" w:cs="Garamond"/>
          <w:i/>
          <w:iCs/>
          <w:color w:val="98361E"/>
        </w:rPr>
      </w:pPr>
      <w:sdt>
        <w:sdtPr>
          <w:tag w:val="goog_rdk_4"/>
          <w:id w:val="-2139473583"/>
          <w:text/>
        </w:sdtPr>
        <w:sdtContent>
          <w:r>
            <w:rPr>
              <w:rFonts w:ascii="Garamond" w:eastAsia="Garamond" w:hAnsi="Garamond" w:cs="Garamond"/>
              <w:i/>
              <w:iCs/>
              <w:color w:val="98361E"/>
            </w:rPr>
            <w:t xml:space="preserve">5.2. </w:t>
          </w:r>
          <w:proofErr w:type="spellStart"/>
          <w:r>
            <w:rPr>
              <w:rFonts w:ascii="Garamond" w:eastAsia="Garamond" w:hAnsi="Garamond" w:cs="Garamond"/>
              <w:i/>
              <w:iCs/>
              <w:color w:val="98361E"/>
            </w:rPr>
            <w:t>On</w:t>
          </w:r>
          <w:proofErr w:type="spellEnd"/>
          <w:r>
            <w:rPr>
              <w:rFonts w:ascii="Garamond" w:eastAsia="Garamond" w:hAnsi="Garamond" w:cs="Garamond"/>
              <w:i/>
              <w:iCs/>
              <w:color w:val="98361E"/>
            </w:rPr>
            <w:t xml:space="preserve"> Intimidad</w:t>
          </w:r>
        </w:sdtContent>
      </w:sdt>
    </w:p>
    <w:p w14:paraId="08357FA0" w14:textId="77777777" w:rsidR="00792349" w:rsidRDefault="00000000">
      <w:pPr>
        <w:widowControl/>
        <w:spacing w:after="80"/>
        <w:ind w:left="426" w:right="370"/>
        <w:jc w:val="both"/>
        <w:rPr>
          <w:color w:val="231F20"/>
          <w:sz w:val="20"/>
          <w:szCs w:val="20"/>
        </w:rPr>
      </w:pPr>
      <w:r>
        <w:rPr>
          <w:color w:val="231F20"/>
          <w:sz w:val="20"/>
          <w:szCs w:val="20"/>
        </w:rPr>
        <w:t xml:space="preserve">Brasil Campos Rodríguez, V. (2024). “La intimidad de puerta abierta: la imagen y la privacidad en la serie </w:t>
      </w:r>
      <w:r>
        <w:rPr>
          <w:i/>
          <w:iCs/>
          <w:color w:val="231F20"/>
          <w:sz w:val="20"/>
          <w:szCs w:val="20"/>
        </w:rPr>
        <w:t xml:space="preserve">Intimidad </w:t>
      </w:r>
      <w:r>
        <w:rPr>
          <w:color w:val="231F20"/>
          <w:sz w:val="20"/>
          <w:szCs w:val="20"/>
        </w:rPr>
        <w:t xml:space="preserve">(2022). </w:t>
      </w:r>
      <w:r>
        <w:rPr>
          <w:i/>
          <w:iCs/>
          <w:color w:val="231F20"/>
          <w:sz w:val="20"/>
          <w:szCs w:val="20"/>
        </w:rPr>
        <w:t>Trama y fondo</w:t>
      </w:r>
      <w:r>
        <w:rPr>
          <w:color w:val="231F20"/>
          <w:sz w:val="20"/>
          <w:szCs w:val="20"/>
        </w:rPr>
        <w:t xml:space="preserve">, (57), Madrid, primer semestre, pp. 11-22. </w:t>
      </w:r>
      <w:hyperlink r:id="rId17">
        <w:r>
          <w:rPr>
            <w:color w:val="0000FF"/>
            <w:sz w:val="20"/>
            <w:szCs w:val="20"/>
            <w:u w:val="single"/>
          </w:rPr>
          <w:t>http://tramayfondo.com/revista/libros/197/T&amp;F57_01.pdf</w:t>
        </w:r>
      </w:hyperlink>
    </w:p>
    <w:p w14:paraId="076DC3B8" w14:textId="77777777" w:rsidR="00792349" w:rsidRDefault="00000000">
      <w:pPr>
        <w:widowControl/>
        <w:spacing w:after="80"/>
        <w:ind w:left="426" w:right="370"/>
        <w:jc w:val="both"/>
        <w:rPr>
          <w:color w:val="231F20"/>
          <w:sz w:val="20"/>
          <w:szCs w:val="20"/>
        </w:rPr>
      </w:pPr>
      <w:r>
        <w:rPr>
          <w:color w:val="231F20"/>
          <w:sz w:val="20"/>
          <w:szCs w:val="20"/>
        </w:rPr>
        <w:t xml:space="preserve">Del Barrio, A. (2019). “Así se cambió el Código Penal por el vídeo sexual de Olvido Hormigos”. </w:t>
      </w:r>
      <w:r>
        <w:rPr>
          <w:i/>
          <w:iCs/>
          <w:color w:val="231F20"/>
          <w:sz w:val="20"/>
          <w:szCs w:val="20"/>
        </w:rPr>
        <w:t>El Mundo</w:t>
      </w:r>
      <w:r>
        <w:rPr>
          <w:color w:val="231F20"/>
          <w:sz w:val="20"/>
          <w:szCs w:val="20"/>
        </w:rPr>
        <w:t xml:space="preserve">. </w:t>
      </w:r>
      <w:hyperlink r:id="rId18">
        <w:r>
          <w:rPr>
            <w:color w:val="0000FF"/>
            <w:sz w:val="20"/>
            <w:szCs w:val="20"/>
            <w:u w:val="single"/>
          </w:rPr>
          <w:t>https://www.elmundo.es/madrid/2019/05/30/5cee6365fc6c83ae2a8b45a6.html</w:t>
        </w:r>
      </w:hyperlink>
    </w:p>
    <w:p w14:paraId="18FA0BDD" w14:textId="77777777" w:rsidR="00792349" w:rsidRDefault="00792349">
      <w:pPr>
        <w:widowControl/>
        <w:spacing w:after="80"/>
        <w:ind w:left="426" w:right="370"/>
        <w:jc w:val="both"/>
        <w:rPr>
          <w:color w:val="231F20"/>
          <w:sz w:val="20"/>
          <w:szCs w:val="20"/>
        </w:rPr>
      </w:pPr>
    </w:p>
    <w:p w14:paraId="4BA5E298" w14:textId="77777777" w:rsidR="00792349" w:rsidRPr="00BF4357" w:rsidRDefault="00000000">
      <w:pPr>
        <w:widowControl/>
        <w:spacing w:after="80"/>
        <w:ind w:left="426" w:right="370"/>
        <w:jc w:val="both"/>
        <w:rPr>
          <w:color w:val="231F20"/>
          <w:sz w:val="20"/>
          <w:szCs w:val="20"/>
          <w:lang w:val="en-GB"/>
        </w:rPr>
      </w:pPr>
      <w:r>
        <w:rPr>
          <w:color w:val="231F20"/>
          <w:sz w:val="20"/>
          <w:szCs w:val="20"/>
        </w:rPr>
        <w:t xml:space="preserve">De la Fuente, A.M., Hopewell, J. (2022). </w:t>
      </w:r>
      <w:r w:rsidRPr="00BF4357">
        <w:rPr>
          <w:color w:val="231F20"/>
          <w:sz w:val="20"/>
          <w:szCs w:val="20"/>
          <w:lang w:val="en-GB"/>
        </w:rPr>
        <w:t xml:space="preserve">“With Netflix Hit ‘Intimacy,’ </w:t>
      </w:r>
      <w:proofErr w:type="spellStart"/>
      <w:r w:rsidRPr="00BF4357">
        <w:rPr>
          <w:color w:val="231F20"/>
          <w:sz w:val="20"/>
          <w:szCs w:val="20"/>
          <w:lang w:val="en-GB"/>
        </w:rPr>
        <w:t>Disney+’s</w:t>
      </w:r>
      <w:proofErr w:type="spellEnd"/>
      <w:r w:rsidRPr="00BF4357">
        <w:rPr>
          <w:color w:val="231F20"/>
          <w:sz w:val="20"/>
          <w:szCs w:val="20"/>
          <w:lang w:val="en-GB"/>
        </w:rPr>
        <w:t xml:space="preserve"> ‘Balenciaga,’ Basque Country Founds Premium TV Sector”. </w:t>
      </w:r>
      <w:r w:rsidRPr="00BF4357">
        <w:rPr>
          <w:i/>
          <w:iCs/>
          <w:color w:val="231F20"/>
          <w:sz w:val="20"/>
          <w:szCs w:val="20"/>
          <w:lang w:val="en-GB"/>
        </w:rPr>
        <w:t>Variety</w:t>
      </w:r>
      <w:r w:rsidRPr="00BF4357">
        <w:rPr>
          <w:color w:val="231F20"/>
          <w:sz w:val="20"/>
          <w:szCs w:val="20"/>
          <w:lang w:val="en-GB"/>
        </w:rPr>
        <w:t xml:space="preserve">. </w:t>
      </w:r>
      <w:hyperlink r:id="rId19">
        <w:r w:rsidRPr="00BF4357">
          <w:rPr>
            <w:color w:val="0000FF"/>
            <w:sz w:val="20"/>
            <w:szCs w:val="20"/>
            <w:u w:val="single"/>
            <w:lang w:val="en-GB"/>
          </w:rPr>
          <w:t>https://variety.com/2022/film/festivals/intimacy-balenciaga-irusoin-txintxua-basque-country-1235377756/</w:t>
        </w:r>
      </w:hyperlink>
    </w:p>
    <w:p w14:paraId="35F2BBBC" w14:textId="77777777" w:rsidR="00792349" w:rsidRDefault="00000000">
      <w:pPr>
        <w:widowControl/>
        <w:spacing w:after="80"/>
        <w:ind w:left="426" w:right="370"/>
        <w:jc w:val="both"/>
        <w:rPr>
          <w:color w:val="231F20"/>
          <w:sz w:val="20"/>
          <w:szCs w:val="20"/>
        </w:rPr>
      </w:pPr>
      <w:proofErr w:type="spellStart"/>
      <w:r>
        <w:rPr>
          <w:color w:val="231F20"/>
          <w:sz w:val="20"/>
          <w:szCs w:val="20"/>
        </w:rPr>
        <w:t>Lakunza</w:t>
      </w:r>
      <w:proofErr w:type="spellEnd"/>
      <w:r>
        <w:rPr>
          <w:color w:val="231F20"/>
          <w:sz w:val="20"/>
          <w:szCs w:val="20"/>
        </w:rPr>
        <w:t xml:space="preserve">, R. (2021). “Asier Altuna: ‘Las comedias que más me gustan son las serias’”. </w:t>
      </w:r>
      <w:r>
        <w:rPr>
          <w:i/>
          <w:iCs/>
          <w:color w:val="231F20"/>
          <w:sz w:val="20"/>
          <w:szCs w:val="20"/>
        </w:rPr>
        <w:t>Noticias de Navarra</w:t>
      </w:r>
      <w:r>
        <w:rPr>
          <w:color w:val="231F20"/>
          <w:sz w:val="20"/>
          <w:szCs w:val="20"/>
        </w:rPr>
        <w:t>.</w:t>
      </w:r>
      <w:r>
        <w:rPr>
          <w:i/>
          <w:iCs/>
          <w:color w:val="231F20"/>
          <w:sz w:val="20"/>
          <w:szCs w:val="20"/>
        </w:rPr>
        <w:t xml:space="preserve"> </w:t>
      </w:r>
      <w:hyperlink r:id="rId20">
        <w:r>
          <w:rPr>
            <w:color w:val="0000FF"/>
            <w:sz w:val="20"/>
            <w:szCs w:val="20"/>
            <w:u w:val="single"/>
          </w:rPr>
          <w:t>https://www.noticiasdenavarra.com/television/2021/12/07/asier-altuna-comedias-gustan-son-2105599.html</w:t>
        </w:r>
      </w:hyperlink>
    </w:p>
    <w:p w14:paraId="3C18DEF5" w14:textId="77777777" w:rsidR="00792349" w:rsidRDefault="00000000">
      <w:pPr>
        <w:widowControl/>
        <w:spacing w:after="80"/>
        <w:ind w:left="426" w:right="370"/>
        <w:jc w:val="both"/>
        <w:rPr>
          <w:color w:val="231F20"/>
          <w:sz w:val="20"/>
          <w:szCs w:val="20"/>
        </w:rPr>
      </w:pPr>
      <w:r>
        <w:rPr>
          <w:color w:val="231F20"/>
          <w:sz w:val="20"/>
          <w:szCs w:val="20"/>
        </w:rPr>
        <w:t>Monfort, C. (2022). “</w:t>
      </w:r>
      <w:r>
        <w:rPr>
          <w:i/>
          <w:iCs/>
          <w:color w:val="231F20"/>
          <w:sz w:val="20"/>
          <w:szCs w:val="20"/>
        </w:rPr>
        <w:t>Intimidad</w:t>
      </w:r>
      <w:r>
        <w:rPr>
          <w:color w:val="231F20"/>
          <w:sz w:val="20"/>
          <w:szCs w:val="20"/>
        </w:rPr>
        <w:t xml:space="preserve">: el devastador caso real que inspiró la serie de Netflix”. </w:t>
      </w:r>
      <w:proofErr w:type="spellStart"/>
      <w:r>
        <w:rPr>
          <w:i/>
          <w:iCs/>
          <w:color w:val="231F20"/>
          <w:sz w:val="20"/>
          <w:szCs w:val="20"/>
        </w:rPr>
        <w:t>Espinof</w:t>
      </w:r>
      <w:proofErr w:type="spellEnd"/>
      <w:r>
        <w:rPr>
          <w:color w:val="231F20"/>
          <w:sz w:val="20"/>
          <w:szCs w:val="20"/>
        </w:rPr>
        <w:t xml:space="preserve">. </w:t>
      </w:r>
      <w:hyperlink r:id="rId21">
        <w:r>
          <w:rPr>
            <w:color w:val="0000FF"/>
            <w:sz w:val="20"/>
            <w:szCs w:val="20"/>
            <w:u w:val="single"/>
          </w:rPr>
          <w:t>https://www.espinof.com/netflix/intimidad-devastador-caso-real-que-inspiro-serie-netflix</w:t>
        </w:r>
      </w:hyperlink>
    </w:p>
    <w:p w14:paraId="212E37AB" w14:textId="77777777" w:rsidR="00792349" w:rsidRDefault="00000000">
      <w:pPr>
        <w:widowControl/>
        <w:spacing w:after="80"/>
        <w:ind w:left="426" w:right="370"/>
        <w:jc w:val="both"/>
        <w:rPr>
          <w:color w:val="231F20"/>
          <w:sz w:val="20"/>
          <w:szCs w:val="20"/>
        </w:rPr>
      </w:pPr>
      <w:r>
        <w:rPr>
          <w:color w:val="231F20"/>
          <w:sz w:val="20"/>
          <w:szCs w:val="20"/>
        </w:rPr>
        <w:t>Puig, F. (2022). “</w:t>
      </w:r>
      <w:r>
        <w:rPr>
          <w:i/>
          <w:iCs/>
          <w:color w:val="231F20"/>
          <w:sz w:val="20"/>
          <w:szCs w:val="20"/>
        </w:rPr>
        <w:t>Intimidad</w:t>
      </w:r>
      <w:r>
        <w:rPr>
          <w:color w:val="231F20"/>
          <w:sz w:val="20"/>
          <w:szCs w:val="20"/>
        </w:rPr>
        <w:t xml:space="preserve">, la delgada línea entre lo que pertenece a la vida pública y la privada”. </w:t>
      </w:r>
      <w:r>
        <w:rPr>
          <w:i/>
          <w:iCs/>
          <w:color w:val="231F20"/>
          <w:sz w:val="20"/>
          <w:szCs w:val="20"/>
        </w:rPr>
        <w:t>La Vanguardia</w:t>
      </w:r>
      <w:r>
        <w:rPr>
          <w:color w:val="231F20"/>
          <w:sz w:val="20"/>
          <w:szCs w:val="20"/>
        </w:rPr>
        <w:t xml:space="preserve">. </w:t>
      </w:r>
      <w:hyperlink r:id="rId22">
        <w:r>
          <w:rPr>
            <w:color w:val="0000FF"/>
            <w:sz w:val="20"/>
            <w:szCs w:val="20"/>
            <w:u w:val="single"/>
          </w:rPr>
          <w:t>https://www.lavanguardia.com/series/20220609/8325803/intimidad-netflix-itziar-ituno-video-sexual-sororidad.html</w:t>
        </w:r>
      </w:hyperlink>
    </w:p>
    <w:p w14:paraId="051A6CB9" w14:textId="77777777" w:rsidR="00792349" w:rsidRDefault="00000000">
      <w:pPr>
        <w:widowControl/>
        <w:spacing w:after="80"/>
        <w:ind w:left="426" w:right="370"/>
        <w:jc w:val="both"/>
        <w:rPr>
          <w:color w:val="231F20"/>
          <w:sz w:val="20"/>
          <w:szCs w:val="20"/>
        </w:rPr>
      </w:pPr>
      <w:r>
        <w:rPr>
          <w:color w:val="231F20"/>
          <w:sz w:val="20"/>
          <w:szCs w:val="20"/>
        </w:rPr>
        <w:t xml:space="preserve">Solá Gimferrer, P. (2019). “Ella es quien corta el bacalao en Netflix y decide las series que veremos (y las que no). Entrevista a Verónica Fernández”. </w:t>
      </w:r>
      <w:r>
        <w:rPr>
          <w:i/>
          <w:iCs/>
          <w:color w:val="231F20"/>
          <w:sz w:val="20"/>
          <w:szCs w:val="20"/>
        </w:rPr>
        <w:t>La Vanguardia</w:t>
      </w:r>
      <w:r>
        <w:rPr>
          <w:color w:val="231F20"/>
          <w:sz w:val="20"/>
          <w:szCs w:val="20"/>
        </w:rPr>
        <w:t xml:space="preserve">. </w:t>
      </w:r>
      <w:hyperlink r:id="rId23">
        <w:r>
          <w:rPr>
            <w:color w:val="0000FF"/>
            <w:sz w:val="20"/>
            <w:szCs w:val="20"/>
            <w:u w:val="single"/>
          </w:rPr>
          <w:t>https://www.lavanguardia.com/series/netflix/20191207/472081836691/veronica-fernandez-netflix-directora-de-contenidos-hache.html</w:t>
        </w:r>
      </w:hyperlink>
    </w:p>
    <w:p w14:paraId="61C9A143" w14:textId="77777777" w:rsidR="00792349" w:rsidRPr="00BF4357" w:rsidRDefault="00000000">
      <w:pPr>
        <w:widowControl/>
        <w:spacing w:after="80"/>
        <w:ind w:left="426" w:right="370"/>
        <w:jc w:val="both"/>
        <w:rPr>
          <w:i/>
          <w:iCs/>
          <w:color w:val="9A0203"/>
          <w:sz w:val="20"/>
          <w:szCs w:val="20"/>
          <w:lang w:val="en-GB"/>
        </w:rPr>
      </w:pPr>
      <w:r w:rsidRPr="00BF4357">
        <w:rPr>
          <w:i/>
          <w:iCs/>
          <w:color w:val="9A0203"/>
          <w:sz w:val="20"/>
          <w:szCs w:val="20"/>
          <w:lang w:val="en-GB"/>
        </w:rPr>
        <w:t>5.3. On the Nevenka case and its representations</w:t>
      </w:r>
    </w:p>
    <w:p w14:paraId="0F3C800D" w14:textId="77777777" w:rsidR="00792349" w:rsidRPr="00BF4357" w:rsidRDefault="00000000">
      <w:pPr>
        <w:widowControl/>
        <w:spacing w:after="80"/>
        <w:ind w:left="426" w:right="370"/>
        <w:jc w:val="both"/>
        <w:rPr>
          <w:color w:val="231F20"/>
          <w:sz w:val="20"/>
          <w:szCs w:val="20"/>
          <w:lang w:val="pt-BR"/>
        </w:rPr>
      </w:pPr>
      <w:r>
        <w:rPr>
          <w:color w:val="231F20"/>
          <w:sz w:val="20"/>
          <w:szCs w:val="20"/>
        </w:rPr>
        <w:lastRenderedPageBreak/>
        <w:t xml:space="preserve">AV451 (Redacción). (2024). “Koldo </w:t>
      </w:r>
      <w:proofErr w:type="spellStart"/>
      <w:r>
        <w:rPr>
          <w:color w:val="231F20"/>
          <w:sz w:val="20"/>
          <w:szCs w:val="20"/>
        </w:rPr>
        <w:t>Zuzua</w:t>
      </w:r>
      <w:proofErr w:type="spellEnd"/>
      <w:r>
        <w:rPr>
          <w:color w:val="231F20"/>
          <w:sz w:val="20"/>
          <w:szCs w:val="20"/>
        </w:rPr>
        <w:t xml:space="preserve">: ‘Queríamos que </w:t>
      </w:r>
      <w:proofErr w:type="spellStart"/>
      <w:r>
        <w:rPr>
          <w:color w:val="231F20"/>
          <w:sz w:val="20"/>
          <w:szCs w:val="20"/>
        </w:rPr>
        <w:t>Nevenka</w:t>
      </w:r>
      <w:proofErr w:type="spellEnd"/>
      <w:r>
        <w:rPr>
          <w:color w:val="231F20"/>
          <w:sz w:val="20"/>
          <w:szCs w:val="20"/>
        </w:rPr>
        <w:t xml:space="preserve"> estuviera segura y convencida de la propuesta’”. </w:t>
      </w:r>
      <w:r w:rsidRPr="00BF4357">
        <w:rPr>
          <w:i/>
          <w:iCs/>
          <w:color w:val="231F20"/>
          <w:sz w:val="20"/>
          <w:szCs w:val="20"/>
          <w:lang w:val="pt-BR"/>
        </w:rPr>
        <w:t>Audiovisual 451</w:t>
      </w:r>
      <w:r w:rsidRPr="00BF4357">
        <w:rPr>
          <w:color w:val="231F20"/>
          <w:sz w:val="20"/>
          <w:szCs w:val="20"/>
          <w:lang w:val="pt-BR"/>
        </w:rPr>
        <w:t xml:space="preserve">. </w:t>
      </w:r>
      <w:hyperlink r:id="rId24">
        <w:r w:rsidRPr="00BF4357">
          <w:rPr>
            <w:color w:val="0000FF"/>
            <w:sz w:val="20"/>
            <w:szCs w:val="20"/>
            <w:u w:val="single"/>
            <w:lang w:val="pt-BR"/>
          </w:rPr>
          <w:t>https://www.audiovisual451.com/koldo-zuazua-queriamos-que-nevenka-estuviera-segura-y-convencida-de-la-propuesta/</w:t>
        </w:r>
      </w:hyperlink>
    </w:p>
    <w:p w14:paraId="1F093E1A" w14:textId="77777777" w:rsidR="00792349" w:rsidRDefault="00000000">
      <w:pPr>
        <w:widowControl/>
        <w:spacing w:after="80"/>
        <w:ind w:left="426" w:right="370"/>
        <w:jc w:val="both"/>
        <w:rPr>
          <w:color w:val="231F20"/>
          <w:sz w:val="20"/>
          <w:szCs w:val="20"/>
        </w:rPr>
      </w:pPr>
      <w:proofErr w:type="spellStart"/>
      <w:r>
        <w:rPr>
          <w:color w:val="231F20"/>
          <w:sz w:val="20"/>
          <w:szCs w:val="20"/>
        </w:rPr>
        <w:t>Cavazzino</w:t>
      </w:r>
      <w:proofErr w:type="spellEnd"/>
      <w:r>
        <w:rPr>
          <w:color w:val="231F20"/>
          <w:sz w:val="20"/>
          <w:szCs w:val="20"/>
        </w:rPr>
        <w:t xml:space="preserve">, V. (2024). “‘¡Tengo </w:t>
      </w:r>
      <w:proofErr w:type="gramStart"/>
      <w:r>
        <w:rPr>
          <w:color w:val="231F20"/>
          <w:sz w:val="20"/>
          <w:szCs w:val="20"/>
        </w:rPr>
        <w:t>dignidad !</w:t>
      </w:r>
      <w:proofErr w:type="gramEnd"/>
      <w:r>
        <w:rPr>
          <w:color w:val="231F20"/>
          <w:sz w:val="20"/>
          <w:szCs w:val="20"/>
        </w:rPr>
        <w:t xml:space="preserve">’. Reivindicación y control en los discursos mediáticos sobre el caso </w:t>
      </w:r>
      <w:proofErr w:type="spellStart"/>
      <w:r>
        <w:rPr>
          <w:color w:val="231F20"/>
          <w:sz w:val="20"/>
          <w:szCs w:val="20"/>
        </w:rPr>
        <w:t>Nevenka</w:t>
      </w:r>
      <w:proofErr w:type="spellEnd"/>
      <w:r>
        <w:rPr>
          <w:color w:val="231F20"/>
          <w:sz w:val="20"/>
          <w:szCs w:val="20"/>
        </w:rPr>
        <w:t xml:space="preserve">”. </w:t>
      </w:r>
      <w:r>
        <w:rPr>
          <w:i/>
          <w:iCs/>
          <w:color w:val="231F20"/>
          <w:sz w:val="20"/>
          <w:szCs w:val="20"/>
        </w:rPr>
        <w:t>Rétor 14</w:t>
      </w:r>
      <w:r>
        <w:rPr>
          <w:color w:val="231F20"/>
          <w:sz w:val="20"/>
          <w:szCs w:val="20"/>
        </w:rPr>
        <w:t xml:space="preserve">(2), pp. 29-43 (julio-diciembre). </w:t>
      </w:r>
      <w:hyperlink r:id="rId25">
        <w:r>
          <w:rPr>
            <w:color w:val="0000FF"/>
            <w:sz w:val="20"/>
            <w:szCs w:val="20"/>
            <w:u w:val="single"/>
          </w:rPr>
          <w:t>http://doi.org/10.61146/retor.v14.n2.225</w:t>
        </w:r>
      </w:hyperlink>
    </w:p>
    <w:p w14:paraId="40A03AF2" w14:textId="77777777" w:rsidR="00792349" w:rsidRPr="00BF4357" w:rsidRDefault="00000000">
      <w:pPr>
        <w:widowControl/>
        <w:spacing w:after="80"/>
        <w:ind w:left="426" w:right="370"/>
        <w:jc w:val="both"/>
        <w:rPr>
          <w:color w:val="231F20"/>
          <w:sz w:val="20"/>
          <w:szCs w:val="20"/>
          <w:u w:val="single"/>
          <w:lang w:val="pt-BR"/>
        </w:rPr>
      </w:pPr>
      <w:r>
        <w:rPr>
          <w:color w:val="231F20"/>
          <w:sz w:val="20"/>
          <w:szCs w:val="20"/>
        </w:rPr>
        <w:t xml:space="preserve"> “Cómplices sella una novena edición de cine”. </w:t>
      </w:r>
      <w:r w:rsidRPr="00BF4357">
        <w:rPr>
          <w:color w:val="231F20"/>
          <w:sz w:val="20"/>
          <w:szCs w:val="20"/>
          <w:lang w:val="pt-BR"/>
        </w:rPr>
        <w:t xml:space="preserve">(2022). </w:t>
      </w:r>
      <w:r w:rsidRPr="00BF4357">
        <w:rPr>
          <w:i/>
          <w:iCs/>
          <w:color w:val="231F20"/>
          <w:sz w:val="20"/>
          <w:szCs w:val="20"/>
          <w:lang w:val="pt-BR"/>
        </w:rPr>
        <w:t xml:space="preserve">Tu </w:t>
      </w:r>
      <w:proofErr w:type="spellStart"/>
      <w:r w:rsidRPr="00BF4357">
        <w:rPr>
          <w:i/>
          <w:iCs/>
          <w:color w:val="231F20"/>
          <w:sz w:val="20"/>
          <w:szCs w:val="20"/>
          <w:lang w:val="pt-BR"/>
        </w:rPr>
        <w:t>Lankide</w:t>
      </w:r>
      <w:proofErr w:type="spellEnd"/>
      <w:r w:rsidRPr="00BF4357">
        <w:rPr>
          <w:color w:val="231F20"/>
          <w:sz w:val="20"/>
          <w:szCs w:val="20"/>
          <w:lang w:val="pt-BR"/>
        </w:rPr>
        <w:t xml:space="preserve">. </w:t>
      </w:r>
      <w:hyperlink r:id="rId26">
        <w:r w:rsidRPr="00BF4357">
          <w:rPr>
            <w:color w:val="0000FF"/>
            <w:sz w:val="20"/>
            <w:szCs w:val="20"/>
            <w:u w:val="single"/>
            <w:lang w:val="pt-BR"/>
          </w:rPr>
          <w:t>https://www.tulankide.com/es/complices-sella-una-novena-edicion-de-cine</w:t>
        </w:r>
      </w:hyperlink>
    </w:p>
    <w:p w14:paraId="5E022509" w14:textId="77777777" w:rsidR="00792349" w:rsidRDefault="00000000">
      <w:pPr>
        <w:widowControl/>
        <w:spacing w:after="80"/>
        <w:ind w:left="426" w:right="370"/>
        <w:jc w:val="both"/>
        <w:rPr>
          <w:color w:val="231F20"/>
          <w:sz w:val="20"/>
          <w:szCs w:val="20"/>
          <w:u w:val="single"/>
        </w:rPr>
      </w:pPr>
      <w:r>
        <w:rPr>
          <w:color w:val="231F20"/>
          <w:sz w:val="20"/>
          <w:szCs w:val="20"/>
        </w:rPr>
        <w:t xml:space="preserve">EFE. (2024). “Discreto estreno en Ponferrada de la película 'Soy </w:t>
      </w:r>
      <w:proofErr w:type="spellStart"/>
      <w:r>
        <w:rPr>
          <w:color w:val="231F20"/>
          <w:sz w:val="20"/>
          <w:szCs w:val="20"/>
        </w:rPr>
        <w:t>Nevenka</w:t>
      </w:r>
      <w:proofErr w:type="spellEnd"/>
      <w:r>
        <w:rPr>
          <w:color w:val="231F20"/>
          <w:sz w:val="20"/>
          <w:szCs w:val="20"/>
        </w:rPr>
        <w:t xml:space="preserve">' sobre el acoso sexual del exalcalde. Muchas más butacas vacías que llenas en la sala de cine de la capital de la comarca de El Bierzo los primeros días del estreno de la película de Icíar Bollaín sobre el caso de la joven concejala”. </w:t>
      </w:r>
      <w:r>
        <w:rPr>
          <w:i/>
          <w:iCs/>
          <w:color w:val="231F20"/>
          <w:sz w:val="20"/>
          <w:szCs w:val="20"/>
        </w:rPr>
        <w:t>El Diario</w:t>
      </w:r>
      <w:r>
        <w:rPr>
          <w:color w:val="231F20"/>
          <w:sz w:val="20"/>
          <w:szCs w:val="20"/>
        </w:rPr>
        <w:t xml:space="preserve">. </w:t>
      </w:r>
      <w:hyperlink r:id="rId27">
        <w:r>
          <w:rPr>
            <w:color w:val="0000FF"/>
            <w:sz w:val="20"/>
            <w:szCs w:val="20"/>
            <w:u w:val="single"/>
          </w:rPr>
          <w:t>https://elbierzo.eldiario.es/ponferrada/discreto-estreno-ponferrada-pelicula-nevenka-acoso-sexual-exalcalde_1_11694569.html</w:t>
        </w:r>
      </w:hyperlink>
    </w:p>
    <w:p w14:paraId="1353C348" w14:textId="77777777" w:rsidR="00792349" w:rsidRDefault="00000000">
      <w:pPr>
        <w:widowControl/>
        <w:spacing w:after="80"/>
        <w:ind w:left="426" w:right="370"/>
        <w:jc w:val="both"/>
        <w:rPr>
          <w:color w:val="231F20"/>
          <w:sz w:val="20"/>
          <w:szCs w:val="20"/>
        </w:rPr>
      </w:pPr>
      <w:r>
        <w:rPr>
          <w:color w:val="231F20"/>
          <w:sz w:val="20"/>
          <w:szCs w:val="20"/>
        </w:rPr>
        <w:t xml:space="preserve">Fauquet, I. (2012). </w:t>
      </w:r>
      <w:proofErr w:type="spellStart"/>
      <w:r>
        <w:rPr>
          <w:i/>
          <w:iCs/>
          <w:color w:val="231F20"/>
          <w:sz w:val="20"/>
          <w:szCs w:val="20"/>
        </w:rPr>
        <w:t>L’exemplarité</w:t>
      </w:r>
      <w:proofErr w:type="spellEnd"/>
      <w:r>
        <w:rPr>
          <w:i/>
          <w:iCs/>
          <w:color w:val="231F20"/>
          <w:sz w:val="20"/>
          <w:szCs w:val="20"/>
        </w:rPr>
        <w:t xml:space="preserve"> de la </w:t>
      </w:r>
      <w:proofErr w:type="spellStart"/>
      <w:r>
        <w:rPr>
          <w:i/>
          <w:iCs/>
          <w:color w:val="231F20"/>
          <w:sz w:val="20"/>
          <w:szCs w:val="20"/>
        </w:rPr>
        <w:t>fiction</w:t>
      </w:r>
      <w:proofErr w:type="spellEnd"/>
      <w:r>
        <w:rPr>
          <w:i/>
          <w:iCs/>
          <w:color w:val="231F20"/>
          <w:sz w:val="20"/>
          <w:szCs w:val="20"/>
        </w:rPr>
        <w:t xml:space="preserve"> </w:t>
      </w:r>
      <w:proofErr w:type="spellStart"/>
      <w:r>
        <w:rPr>
          <w:i/>
          <w:iCs/>
          <w:color w:val="231F20"/>
          <w:sz w:val="20"/>
          <w:szCs w:val="20"/>
        </w:rPr>
        <w:t>dans</w:t>
      </w:r>
      <w:proofErr w:type="spellEnd"/>
      <w:r>
        <w:rPr>
          <w:i/>
          <w:iCs/>
          <w:color w:val="231F20"/>
          <w:sz w:val="20"/>
          <w:szCs w:val="20"/>
        </w:rPr>
        <w:t xml:space="preserve"> le </w:t>
      </w:r>
      <w:proofErr w:type="spellStart"/>
      <w:r>
        <w:rPr>
          <w:i/>
          <w:iCs/>
          <w:color w:val="231F20"/>
          <w:sz w:val="20"/>
          <w:szCs w:val="20"/>
        </w:rPr>
        <w:t>roman</w:t>
      </w:r>
      <w:proofErr w:type="spellEnd"/>
      <w:r>
        <w:rPr>
          <w:i/>
          <w:iCs/>
          <w:color w:val="231F20"/>
          <w:sz w:val="20"/>
          <w:szCs w:val="20"/>
        </w:rPr>
        <w:t xml:space="preserve"> </w:t>
      </w:r>
      <w:proofErr w:type="spellStart"/>
      <w:r>
        <w:rPr>
          <w:i/>
          <w:iCs/>
          <w:color w:val="231F20"/>
          <w:sz w:val="20"/>
          <w:szCs w:val="20"/>
        </w:rPr>
        <w:t>espagnol</w:t>
      </w:r>
      <w:proofErr w:type="spellEnd"/>
      <w:r>
        <w:rPr>
          <w:i/>
          <w:iCs/>
          <w:color w:val="231F20"/>
          <w:sz w:val="20"/>
          <w:szCs w:val="20"/>
        </w:rPr>
        <w:t xml:space="preserve"> </w:t>
      </w:r>
      <w:proofErr w:type="spellStart"/>
      <w:r>
        <w:rPr>
          <w:i/>
          <w:iCs/>
          <w:color w:val="231F20"/>
          <w:sz w:val="20"/>
          <w:szCs w:val="20"/>
        </w:rPr>
        <w:t>contemporain</w:t>
      </w:r>
      <w:proofErr w:type="spellEnd"/>
      <w:r>
        <w:rPr>
          <w:color w:val="231F20"/>
          <w:sz w:val="20"/>
          <w:szCs w:val="20"/>
        </w:rPr>
        <w:t xml:space="preserve">. </w:t>
      </w:r>
      <w:proofErr w:type="spellStart"/>
      <w:r>
        <w:rPr>
          <w:color w:val="231F20"/>
          <w:sz w:val="20"/>
          <w:szCs w:val="20"/>
        </w:rPr>
        <w:t>Thèse</w:t>
      </w:r>
      <w:proofErr w:type="spellEnd"/>
      <w:r>
        <w:rPr>
          <w:color w:val="231F20"/>
          <w:sz w:val="20"/>
          <w:szCs w:val="20"/>
        </w:rPr>
        <w:t xml:space="preserve">, </w:t>
      </w:r>
      <w:proofErr w:type="spellStart"/>
      <w:r>
        <w:rPr>
          <w:color w:val="231F20"/>
          <w:sz w:val="20"/>
          <w:szCs w:val="20"/>
        </w:rPr>
        <w:t>Bordeaux</w:t>
      </w:r>
      <w:proofErr w:type="spellEnd"/>
      <w:r>
        <w:rPr>
          <w:color w:val="231F20"/>
          <w:sz w:val="20"/>
          <w:szCs w:val="20"/>
        </w:rPr>
        <w:t xml:space="preserve"> III: </w:t>
      </w:r>
      <w:proofErr w:type="spellStart"/>
      <w:r>
        <w:rPr>
          <w:color w:val="231F20"/>
          <w:sz w:val="20"/>
          <w:szCs w:val="20"/>
        </w:rPr>
        <w:t>Université</w:t>
      </w:r>
      <w:proofErr w:type="spellEnd"/>
      <w:r>
        <w:rPr>
          <w:color w:val="231F20"/>
          <w:sz w:val="20"/>
          <w:szCs w:val="20"/>
        </w:rPr>
        <w:t xml:space="preserve"> Michel de Montaigne. </w:t>
      </w:r>
    </w:p>
    <w:p w14:paraId="0F77620C" w14:textId="77777777" w:rsidR="00792349" w:rsidRDefault="00000000">
      <w:pPr>
        <w:widowControl/>
        <w:spacing w:after="80"/>
        <w:ind w:left="426" w:right="370"/>
        <w:jc w:val="both"/>
        <w:rPr>
          <w:color w:val="231F20"/>
          <w:sz w:val="20"/>
          <w:szCs w:val="20"/>
        </w:rPr>
      </w:pPr>
      <w:r>
        <w:rPr>
          <w:color w:val="231F20"/>
          <w:sz w:val="20"/>
          <w:szCs w:val="20"/>
        </w:rPr>
        <w:t>Fernández, R. (2024)., “</w:t>
      </w:r>
      <w:r>
        <w:rPr>
          <w:i/>
          <w:iCs/>
          <w:color w:val="231F20"/>
          <w:sz w:val="20"/>
          <w:szCs w:val="20"/>
        </w:rPr>
        <w:t xml:space="preserve">Soy </w:t>
      </w:r>
      <w:proofErr w:type="spellStart"/>
      <w:r>
        <w:rPr>
          <w:i/>
          <w:iCs/>
          <w:color w:val="231F20"/>
          <w:sz w:val="20"/>
          <w:szCs w:val="20"/>
        </w:rPr>
        <w:t>Nevenka</w:t>
      </w:r>
      <w:proofErr w:type="spellEnd"/>
      <w:r>
        <w:rPr>
          <w:color w:val="231F20"/>
          <w:sz w:val="20"/>
          <w:szCs w:val="20"/>
        </w:rPr>
        <w:t xml:space="preserve">: mucha historia, poco cine”. </w:t>
      </w:r>
      <w:r>
        <w:rPr>
          <w:i/>
          <w:iCs/>
          <w:color w:val="231F20"/>
          <w:sz w:val="20"/>
          <w:szCs w:val="20"/>
        </w:rPr>
        <w:t>El Contraplano</w:t>
      </w:r>
      <w:r>
        <w:rPr>
          <w:color w:val="231F20"/>
          <w:sz w:val="20"/>
          <w:szCs w:val="20"/>
        </w:rPr>
        <w:t xml:space="preserve">. </w:t>
      </w:r>
      <w:hyperlink r:id="rId28">
        <w:r>
          <w:rPr>
            <w:color w:val="0000FF"/>
            <w:sz w:val="20"/>
            <w:szCs w:val="20"/>
            <w:u w:val="single"/>
          </w:rPr>
          <w:t>https://elcontraplano.com/2024/09/20/soy-nevenka-mucha-historia-poco-cine/</w:t>
        </w:r>
      </w:hyperlink>
      <w:r>
        <w:rPr>
          <w:color w:val="231F20"/>
          <w:sz w:val="20"/>
          <w:szCs w:val="20"/>
        </w:rPr>
        <w:t>.</w:t>
      </w:r>
    </w:p>
    <w:p w14:paraId="71F9255F" w14:textId="77777777" w:rsidR="00792349" w:rsidRDefault="00000000">
      <w:pPr>
        <w:widowControl/>
        <w:spacing w:after="80"/>
        <w:ind w:left="426" w:right="370"/>
        <w:jc w:val="both"/>
        <w:rPr>
          <w:color w:val="231F20"/>
          <w:sz w:val="20"/>
          <w:szCs w:val="20"/>
        </w:rPr>
      </w:pPr>
      <w:r>
        <w:rPr>
          <w:color w:val="231F20"/>
          <w:sz w:val="20"/>
          <w:szCs w:val="20"/>
        </w:rPr>
        <w:t xml:space="preserve">Lilic, M. (2017). “Acoso sexual en la novela testimonial sobre el “caso </w:t>
      </w:r>
      <w:proofErr w:type="spellStart"/>
      <w:r>
        <w:rPr>
          <w:color w:val="231F20"/>
          <w:sz w:val="20"/>
          <w:szCs w:val="20"/>
        </w:rPr>
        <w:t>Nevenka</w:t>
      </w:r>
      <w:proofErr w:type="spellEnd"/>
      <w:r>
        <w:rPr>
          <w:color w:val="231F20"/>
          <w:sz w:val="20"/>
          <w:szCs w:val="20"/>
        </w:rPr>
        <w:t xml:space="preserve">” de Juan José Millás”. </w:t>
      </w:r>
      <w:proofErr w:type="spellStart"/>
      <w:r>
        <w:rPr>
          <w:i/>
          <w:iCs/>
          <w:color w:val="231F20"/>
          <w:sz w:val="20"/>
          <w:szCs w:val="20"/>
        </w:rPr>
        <w:t>Raudem</w:t>
      </w:r>
      <w:proofErr w:type="spellEnd"/>
      <w:r>
        <w:rPr>
          <w:i/>
          <w:iCs/>
          <w:color w:val="231F20"/>
          <w:sz w:val="20"/>
          <w:szCs w:val="20"/>
        </w:rPr>
        <w:t>,</w:t>
      </w:r>
      <w:r>
        <w:rPr>
          <w:b/>
          <w:bCs/>
          <w:i/>
          <w:iCs/>
          <w:color w:val="231F20"/>
          <w:sz w:val="20"/>
          <w:szCs w:val="20"/>
        </w:rPr>
        <w:t xml:space="preserve"> </w:t>
      </w:r>
      <w:r>
        <w:rPr>
          <w:i/>
          <w:iCs/>
          <w:color w:val="231F20"/>
          <w:sz w:val="20"/>
          <w:szCs w:val="20"/>
        </w:rPr>
        <w:t>Revista de Estudios de las Mujeres</w:t>
      </w:r>
      <w:r>
        <w:rPr>
          <w:color w:val="231F20"/>
          <w:sz w:val="20"/>
          <w:szCs w:val="20"/>
        </w:rPr>
        <w:t xml:space="preserve">. (5), pp. 165-191. </w:t>
      </w:r>
    </w:p>
    <w:p w14:paraId="7E1BA47F" w14:textId="77777777" w:rsidR="00792349" w:rsidRDefault="00792349">
      <w:pPr>
        <w:widowControl/>
        <w:spacing w:after="80"/>
        <w:ind w:left="426" w:right="370"/>
        <w:jc w:val="both"/>
        <w:rPr>
          <w:color w:val="231F20"/>
          <w:sz w:val="20"/>
          <w:szCs w:val="20"/>
        </w:rPr>
      </w:pPr>
    </w:p>
    <w:p w14:paraId="05828710" w14:textId="77777777" w:rsidR="00792349" w:rsidRDefault="00000000">
      <w:pPr>
        <w:widowControl/>
        <w:spacing w:after="80"/>
        <w:ind w:left="426" w:right="370"/>
        <w:jc w:val="both"/>
        <w:rPr>
          <w:color w:val="231F20"/>
          <w:sz w:val="20"/>
          <w:szCs w:val="20"/>
        </w:rPr>
      </w:pPr>
      <w:r>
        <w:rPr>
          <w:color w:val="231F20"/>
          <w:sz w:val="20"/>
          <w:szCs w:val="20"/>
        </w:rPr>
        <w:t xml:space="preserve">Lilic, M. (2023). “Juan José Millás y los personajes masculinos de su obra </w:t>
      </w:r>
      <w:r>
        <w:rPr>
          <w:i/>
          <w:iCs/>
          <w:color w:val="231F20"/>
          <w:sz w:val="20"/>
          <w:szCs w:val="20"/>
        </w:rPr>
        <w:t xml:space="preserve">Hay algo que no es como me dicen. El caso de </w:t>
      </w:r>
      <w:proofErr w:type="spellStart"/>
      <w:r>
        <w:rPr>
          <w:i/>
          <w:iCs/>
          <w:color w:val="231F20"/>
          <w:sz w:val="20"/>
          <w:szCs w:val="20"/>
        </w:rPr>
        <w:t>Nevenka</w:t>
      </w:r>
      <w:proofErr w:type="spellEnd"/>
      <w:r>
        <w:rPr>
          <w:i/>
          <w:iCs/>
          <w:color w:val="231F20"/>
          <w:sz w:val="20"/>
          <w:szCs w:val="20"/>
        </w:rPr>
        <w:t xml:space="preserve"> Fernández contra la realidad</w:t>
      </w:r>
      <w:r>
        <w:rPr>
          <w:color w:val="231F20"/>
          <w:sz w:val="20"/>
          <w:szCs w:val="20"/>
        </w:rPr>
        <w:t xml:space="preserve">. Dos extremos en la curva de la masculinidad”. </w:t>
      </w:r>
      <w:r>
        <w:rPr>
          <w:i/>
          <w:iCs/>
          <w:color w:val="231F20"/>
          <w:sz w:val="20"/>
          <w:szCs w:val="20"/>
        </w:rPr>
        <w:t xml:space="preserve">Revista </w:t>
      </w:r>
      <w:proofErr w:type="spellStart"/>
      <w:r>
        <w:rPr>
          <w:i/>
          <w:iCs/>
          <w:color w:val="231F20"/>
          <w:sz w:val="20"/>
          <w:szCs w:val="20"/>
        </w:rPr>
        <w:t>Letral</w:t>
      </w:r>
      <w:proofErr w:type="spellEnd"/>
      <w:r>
        <w:rPr>
          <w:color w:val="231F20"/>
          <w:sz w:val="20"/>
          <w:szCs w:val="20"/>
        </w:rPr>
        <w:t xml:space="preserve">, (30), pp. 95-106. </w:t>
      </w:r>
    </w:p>
    <w:p w14:paraId="7B842C14" w14:textId="77777777" w:rsidR="00792349" w:rsidRDefault="00000000">
      <w:pPr>
        <w:widowControl/>
        <w:spacing w:after="80"/>
        <w:ind w:left="426" w:right="370"/>
        <w:jc w:val="both"/>
        <w:rPr>
          <w:color w:val="231F20"/>
          <w:sz w:val="20"/>
          <w:szCs w:val="20"/>
        </w:rPr>
      </w:pPr>
      <w:r>
        <w:rPr>
          <w:color w:val="231F20"/>
          <w:sz w:val="20"/>
          <w:szCs w:val="20"/>
        </w:rPr>
        <w:t xml:space="preserve">Meeks, R. (2024). “'Soy </w:t>
      </w:r>
      <w:proofErr w:type="spellStart"/>
      <w:r>
        <w:rPr>
          <w:color w:val="231F20"/>
          <w:sz w:val="20"/>
          <w:szCs w:val="20"/>
        </w:rPr>
        <w:t>Nevenka</w:t>
      </w:r>
      <w:proofErr w:type="spellEnd"/>
      <w:r>
        <w:rPr>
          <w:color w:val="231F20"/>
          <w:sz w:val="20"/>
          <w:szCs w:val="20"/>
        </w:rPr>
        <w:t xml:space="preserve">' muestra con solvencia el primer "Me </w:t>
      </w:r>
      <w:proofErr w:type="spellStart"/>
      <w:r>
        <w:rPr>
          <w:color w:val="231F20"/>
          <w:sz w:val="20"/>
          <w:szCs w:val="20"/>
        </w:rPr>
        <w:t>Too</w:t>
      </w:r>
      <w:proofErr w:type="spellEnd"/>
      <w:r>
        <w:rPr>
          <w:color w:val="231F20"/>
          <w:sz w:val="20"/>
          <w:szCs w:val="20"/>
        </w:rPr>
        <w:t xml:space="preserve">" de la historia de España, pero su mayor acierto es hacer que resuene con nuestro presente. Festival de San Sebastián 2024”. </w:t>
      </w:r>
      <w:proofErr w:type="spellStart"/>
      <w:r>
        <w:rPr>
          <w:i/>
          <w:iCs/>
          <w:color w:val="231F20"/>
          <w:sz w:val="20"/>
          <w:szCs w:val="20"/>
        </w:rPr>
        <w:t>Espinof</w:t>
      </w:r>
      <w:proofErr w:type="spellEnd"/>
      <w:r>
        <w:rPr>
          <w:color w:val="231F20"/>
          <w:sz w:val="20"/>
          <w:szCs w:val="20"/>
        </w:rPr>
        <w:t xml:space="preserve">. </w:t>
      </w:r>
      <w:hyperlink r:id="rId29">
        <w:r>
          <w:rPr>
            <w:color w:val="0000FF"/>
            <w:sz w:val="20"/>
            <w:szCs w:val="20"/>
            <w:u w:val="single"/>
          </w:rPr>
          <w:t>https://www.espinof.com/criticas/soy-nevenka-muestra-solvencia-primer-me-too-historia-espana-su-mayor-acierto-hacer-que-resuene-nuestro-presente-festival-san-sebastian-2024</w:t>
        </w:r>
      </w:hyperlink>
    </w:p>
    <w:p w14:paraId="189BEF1C" w14:textId="77777777" w:rsidR="00792349" w:rsidRDefault="00000000">
      <w:pPr>
        <w:widowControl/>
        <w:spacing w:after="80"/>
        <w:ind w:left="426" w:right="370"/>
        <w:jc w:val="both"/>
        <w:rPr>
          <w:color w:val="231F20"/>
          <w:sz w:val="20"/>
          <w:szCs w:val="20"/>
        </w:rPr>
      </w:pPr>
      <w:r>
        <w:rPr>
          <w:color w:val="231F20"/>
          <w:sz w:val="20"/>
          <w:szCs w:val="20"/>
        </w:rPr>
        <w:t xml:space="preserve">Millás, J.J. (2004). </w:t>
      </w:r>
      <w:r>
        <w:rPr>
          <w:i/>
          <w:iCs/>
          <w:color w:val="231F20"/>
          <w:sz w:val="20"/>
          <w:szCs w:val="20"/>
        </w:rPr>
        <w:t xml:space="preserve">Hay algo que no es como me dicen. El caso de </w:t>
      </w:r>
      <w:proofErr w:type="spellStart"/>
      <w:r>
        <w:rPr>
          <w:i/>
          <w:iCs/>
          <w:color w:val="231F20"/>
          <w:sz w:val="20"/>
          <w:szCs w:val="20"/>
        </w:rPr>
        <w:t>Nevenka</w:t>
      </w:r>
      <w:proofErr w:type="spellEnd"/>
      <w:r>
        <w:rPr>
          <w:i/>
          <w:iCs/>
          <w:color w:val="231F20"/>
          <w:sz w:val="20"/>
          <w:szCs w:val="20"/>
        </w:rPr>
        <w:t xml:space="preserve"> Fernández contra la realidad</w:t>
      </w:r>
      <w:r>
        <w:rPr>
          <w:color w:val="231F20"/>
          <w:sz w:val="20"/>
          <w:szCs w:val="20"/>
        </w:rPr>
        <w:t xml:space="preserve">. Aguilar. </w:t>
      </w:r>
    </w:p>
    <w:p w14:paraId="3130B1C1" w14:textId="77777777" w:rsidR="00792349" w:rsidRDefault="00000000">
      <w:pPr>
        <w:widowControl/>
        <w:spacing w:after="80"/>
        <w:ind w:left="426" w:right="370"/>
        <w:jc w:val="both"/>
        <w:rPr>
          <w:color w:val="231F20"/>
          <w:sz w:val="20"/>
          <w:szCs w:val="20"/>
        </w:rPr>
      </w:pPr>
      <w:r>
        <w:rPr>
          <w:color w:val="231F20"/>
          <w:sz w:val="20"/>
          <w:szCs w:val="20"/>
        </w:rPr>
        <w:t xml:space="preserve">“Películas candidatas a los Goya en Movistar+”. (2024). </w:t>
      </w:r>
      <w:hyperlink r:id="rId30">
        <w:r>
          <w:rPr>
            <w:color w:val="0000FF"/>
            <w:sz w:val="20"/>
            <w:szCs w:val="20"/>
            <w:u w:val="single"/>
          </w:rPr>
          <w:t>https://comunicacion.movistarplus.es/nota-de-prensa/las-33-peliculas-nominadas-a-los-premios-goya-2025-que-podras-ver-en-movistar-plus/</w:t>
        </w:r>
      </w:hyperlink>
    </w:p>
    <w:p w14:paraId="342015E0" w14:textId="77777777" w:rsidR="00792349" w:rsidRDefault="00000000">
      <w:pPr>
        <w:widowControl/>
        <w:spacing w:after="80"/>
        <w:ind w:left="426" w:right="370"/>
        <w:jc w:val="both"/>
        <w:rPr>
          <w:color w:val="231F20"/>
          <w:sz w:val="20"/>
          <w:szCs w:val="20"/>
        </w:rPr>
      </w:pPr>
      <w:r>
        <w:rPr>
          <w:color w:val="231F20"/>
          <w:sz w:val="20"/>
          <w:szCs w:val="20"/>
        </w:rPr>
        <w:t xml:space="preserve">Ramos, C. (2024). “El estreno de 'Soy </w:t>
      </w:r>
      <w:proofErr w:type="spellStart"/>
      <w:r>
        <w:rPr>
          <w:color w:val="231F20"/>
          <w:sz w:val="20"/>
          <w:szCs w:val="20"/>
        </w:rPr>
        <w:t>Nevenka</w:t>
      </w:r>
      <w:proofErr w:type="spellEnd"/>
      <w:r>
        <w:rPr>
          <w:color w:val="231F20"/>
          <w:sz w:val="20"/>
          <w:szCs w:val="20"/>
        </w:rPr>
        <w:t xml:space="preserve">' reúne a 700 espectadores en los cines de Ponferrada”. </w:t>
      </w:r>
      <w:r>
        <w:rPr>
          <w:i/>
          <w:iCs/>
          <w:color w:val="231F20"/>
          <w:sz w:val="20"/>
          <w:szCs w:val="20"/>
        </w:rPr>
        <w:t>El Bierzo Noticias</w:t>
      </w:r>
      <w:r>
        <w:rPr>
          <w:color w:val="231F20"/>
          <w:sz w:val="20"/>
          <w:szCs w:val="20"/>
        </w:rPr>
        <w:t xml:space="preserve">. </w:t>
      </w:r>
      <w:hyperlink r:id="rId31">
        <w:r>
          <w:rPr>
            <w:color w:val="0000FF"/>
            <w:sz w:val="20"/>
            <w:szCs w:val="20"/>
            <w:u w:val="single"/>
          </w:rPr>
          <w:t>https://www.elbierzonoticias.com/ponferrada/estreno-nevenka-reune-700-espectadores-cines-ponferrada-20241001082143-nt.html</w:t>
        </w:r>
      </w:hyperlink>
    </w:p>
    <w:p w14:paraId="4DF40745" w14:textId="77777777" w:rsidR="00792349" w:rsidRPr="00BF4357" w:rsidRDefault="00000000">
      <w:pPr>
        <w:widowControl/>
        <w:spacing w:after="80"/>
        <w:ind w:left="426" w:right="370"/>
        <w:jc w:val="both"/>
        <w:rPr>
          <w:color w:val="231F20"/>
          <w:sz w:val="20"/>
          <w:szCs w:val="20"/>
          <w:lang w:val="pt-BR"/>
        </w:rPr>
      </w:pPr>
      <w:r>
        <w:rPr>
          <w:color w:val="231F20"/>
          <w:sz w:val="20"/>
          <w:szCs w:val="20"/>
        </w:rPr>
        <w:t>Redacción Radio Bierzo. (2025). “</w:t>
      </w:r>
      <w:r>
        <w:rPr>
          <w:i/>
          <w:iCs/>
          <w:color w:val="231F20"/>
          <w:sz w:val="20"/>
          <w:szCs w:val="20"/>
        </w:rPr>
        <w:t xml:space="preserve">Soy </w:t>
      </w:r>
      <w:proofErr w:type="spellStart"/>
      <w:r>
        <w:rPr>
          <w:i/>
          <w:iCs/>
          <w:color w:val="231F20"/>
          <w:sz w:val="20"/>
          <w:szCs w:val="20"/>
        </w:rPr>
        <w:t>Nevenka</w:t>
      </w:r>
      <w:proofErr w:type="spellEnd"/>
      <w:r>
        <w:rPr>
          <w:color w:val="231F20"/>
          <w:sz w:val="20"/>
          <w:szCs w:val="20"/>
        </w:rPr>
        <w:t xml:space="preserve"> se retira de la gran pantalla tras sumar 265.000 espectadores”. </w:t>
      </w:r>
      <w:r w:rsidRPr="00BF4357">
        <w:rPr>
          <w:i/>
          <w:iCs/>
          <w:color w:val="231F20"/>
          <w:sz w:val="20"/>
          <w:szCs w:val="20"/>
          <w:lang w:val="pt-BR"/>
        </w:rPr>
        <w:t>Cadenaser.com</w:t>
      </w:r>
      <w:r w:rsidRPr="00BF4357">
        <w:rPr>
          <w:color w:val="231F20"/>
          <w:sz w:val="20"/>
          <w:szCs w:val="20"/>
          <w:lang w:val="pt-BR"/>
        </w:rPr>
        <w:t xml:space="preserve">. </w:t>
      </w:r>
      <w:hyperlink r:id="rId32">
        <w:r w:rsidRPr="00BF4357">
          <w:rPr>
            <w:color w:val="0000FF"/>
            <w:sz w:val="20"/>
            <w:szCs w:val="20"/>
            <w:u w:val="single"/>
            <w:lang w:val="pt-BR"/>
          </w:rPr>
          <w:t>https://cadenaser.com/castillayleon/2025/01/27/soy-nevenka-se-retira-de-la-gran-pantalla-tras-sumar-265000-espectadores-radio-bierzo/</w:t>
        </w:r>
      </w:hyperlink>
    </w:p>
    <w:p w14:paraId="25C7B431" w14:textId="77777777" w:rsidR="00792349" w:rsidRDefault="00000000">
      <w:pPr>
        <w:widowControl/>
        <w:spacing w:after="80"/>
        <w:ind w:left="426" w:right="370"/>
        <w:jc w:val="both"/>
        <w:rPr>
          <w:color w:val="231F20"/>
          <w:sz w:val="20"/>
          <w:szCs w:val="20"/>
        </w:rPr>
      </w:pPr>
      <w:r w:rsidRPr="00BF4357">
        <w:rPr>
          <w:color w:val="231F20"/>
          <w:sz w:val="20"/>
          <w:szCs w:val="20"/>
          <w:lang w:val="pt-BR"/>
        </w:rPr>
        <w:lastRenderedPageBreak/>
        <w:t xml:space="preserve">Téllez </w:t>
      </w:r>
      <w:proofErr w:type="spellStart"/>
      <w:r w:rsidRPr="00BF4357">
        <w:rPr>
          <w:color w:val="231F20"/>
          <w:sz w:val="20"/>
          <w:szCs w:val="20"/>
          <w:lang w:val="pt-BR"/>
        </w:rPr>
        <w:t>Brotons</w:t>
      </w:r>
      <w:proofErr w:type="spellEnd"/>
      <w:r w:rsidRPr="00BF4357">
        <w:rPr>
          <w:color w:val="231F20"/>
          <w:sz w:val="20"/>
          <w:szCs w:val="20"/>
          <w:lang w:val="pt-BR"/>
        </w:rPr>
        <w:t xml:space="preserve">, R. (2024). </w:t>
      </w:r>
      <w:r>
        <w:rPr>
          <w:color w:val="231F20"/>
          <w:sz w:val="20"/>
          <w:szCs w:val="20"/>
        </w:rPr>
        <w:t>“</w:t>
      </w:r>
      <w:r>
        <w:rPr>
          <w:i/>
          <w:iCs/>
          <w:color w:val="231F20"/>
          <w:sz w:val="20"/>
          <w:szCs w:val="20"/>
        </w:rPr>
        <w:t xml:space="preserve">Soy </w:t>
      </w:r>
      <w:proofErr w:type="spellStart"/>
      <w:r>
        <w:rPr>
          <w:i/>
          <w:iCs/>
          <w:color w:val="231F20"/>
          <w:sz w:val="20"/>
          <w:szCs w:val="20"/>
        </w:rPr>
        <w:t>Nevenka</w:t>
      </w:r>
      <w:proofErr w:type="spellEnd"/>
      <w:r>
        <w:rPr>
          <w:color w:val="231F20"/>
          <w:sz w:val="20"/>
          <w:szCs w:val="20"/>
        </w:rPr>
        <w:t xml:space="preserve">. La buena letra como disfraz para los abusos”. </w:t>
      </w:r>
      <w:r>
        <w:rPr>
          <w:i/>
          <w:iCs/>
          <w:color w:val="231F20"/>
          <w:sz w:val="20"/>
          <w:szCs w:val="20"/>
        </w:rPr>
        <w:t>El antepenúltimo mohicano</w:t>
      </w:r>
      <w:r>
        <w:rPr>
          <w:color w:val="231F20"/>
          <w:sz w:val="20"/>
          <w:szCs w:val="20"/>
        </w:rPr>
        <w:t xml:space="preserve">. </w:t>
      </w:r>
      <w:hyperlink r:id="rId33">
        <w:r>
          <w:rPr>
            <w:color w:val="0000FF"/>
            <w:sz w:val="20"/>
            <w:szCs w:val="20"/>
            <w:u w:val="single"/>
          </w:rPr>
          <w:t>https://www.elantepenultimomohicano.com/2024/09/critica-soy-nevenka.html</w:t>
        </w:r>
      </w:hyperlink>
    </w:p>
    <w:p w14:paraId="79587245" w14:textId="77777777" w:rsidR="00792349" w:rsidRDefault="00792349">
      <w:pPr>
        <w:widowControl/>
        <w:spacing w:after="80"/>
        <w:ind w:left="426" w:right="370"/>
        <w:jc w:val="both"/>
        <w:rPr>
          <w:color w:val="231F20"/>
          <w:sz w:val="20"/>
          <w:szCs w:val="20"/>
        </w:rPr>
      </w:pPr>
    </w:p>
    <w:p w14:paraId="5124C34B" w14:textId="77777777" w:rsidR="00792349" w:rsidRDefault="00792349">
      <w:pPr>
        <w:widowControl/>
        <w:spacing w:after="80"/>
        <w:rPr>
          <w:color w:val="000000"/>
          <w:sz w:val="20"/>
          <w:szCs w:val="20"/>
        </w:rPr>
      </w:pPr>
    </w:p>
    <w:p w14:paraId="0A64E266" w14:textId="77777777" w:rsidR="00792349" w:rsidRDefault="00792349">
      <w:pPr>
        <w:widowControl/>
        <w:spacing w:after="80"/>
        <w:rPr>
          <w:sz w:val="29"/>
          <w:szCs w:val="29"/>
        </w:rPr>
      </w:pPr>
      <w:bookmarkStart w:id="6" w:name="_heading=h.yl0jqvq5lkp6"/>
      <w:bookmarkEnd w:id="6"/>
    </w:p>
    <w:p w14:paraId="5B4E27D6" w14:textId="77777777" w:rsidR="00792349" w:rsidRDefault="00000000">
      <w:pPr>
        <w:widowControl/>
        <w:spacing w:after="80"/>
        <w:ind w:left="2883"/>
        <w:rPr>
          <w:color w:val="000000"/>
          <w:sz w:val="20"/>
          <w:szCs w:val="20"/>
        </w:rPr>
      </w:pPr>
      <w:r>
        <w:rPr>
          <w:noProof/>
        </w:rPr>
        <w:drawing>
          <wp:inline distT="0" distB="0" distL="0" distR="0" wp14:anchorId="6722F109" wp14:editId="4285CD4C">
            <wp:extent cx="1137285" cy="400050"/>
            <wp:effectExtent l="0" t="0" r="0" b="0"/>
            <wp:docPr id="4" name="image4.jpg" descr="Description: Macintosh HD:Users:Daniel:Desktop:licenciac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g" descr="Description: Macintosh HD:Users:Daniel:Desktop:licenciacc1.png"/>
                    <pic:cNvPicPr>
                      <a:picLocks noChangeAspect="1" noChangeArrowheads="1"/>
                    </pic:cNvPicPr>
                  </pic:nvPicPr>
                  <pic:blipFill>
                    <a:blip r:embed="rId34"/>
                    <a:stretch>
                      <a:fillRect/>
                    </a:stretch>
                  </pic:blipFill>
                  <pic:spPr bwMode="auto">
                    <a:xfrm>
                      <a:off x="0" y="0"/>
                      <a:ext cx="1137285" cy="400050"/>
                    </a:xfrm>
                    <a:prstGeom prst="rect">
                      <a:avLst/>
                    </a:prstGeom>
                    <a:noFill/>
                  </pic:spPr>
                </pic:pic>
              </a:graphicData>
            </a:graphic>
          </wp:inline>
        </w:drawing>
      </w:r>
    </w:p>
    <w:p w14:paraId="605B3334" w14:textId="77777777" w:rsidR="00792349" w:rsidRPr="00BF4357" w:rsidRDefault="00000000">
      <w:pPr>
        <w:widowControl/>
        <w:spacing w:after="80"/>
        <w:ind w:left="647" w:right="684"/>
        <w:jc w:val="center"/>
        <w:rPr>
          <w:color w:val="000000"/>
          <w:sz w:val="18"/>
          <w:szCs w:val="18"/>
          <w:lang w:val="en-GB"/>
        </w:rPr>
      </w:pPr>
      <w:proofErr w:type="spellStart"/>
      <w:r w:rsidRPr="00BF4357">
        <w:rPr>
          <w:color w:val="231F20"/>
          <w:sz w:val="18"/>
          <w:szCs w:val="18"/>
          <w:lang w:val="en-GB"/>
        </w:rPr>
        <w:t>Licencia</w:t>
      </w:r>
      <w:proofErr w:type="spellEnd"/>
      <w:r w:rsidRPr="00BF4357">
        <w:rPr>
          <w:color w:val="231F20"/>
          <w:sz w:val="18"/>
          <w:szCs w:val="18"/>
          <w:lang w:val="en-GB"/>
        </w:rPr>
        <w:t xml:space="preserve"> Creative Commons</w:t>
      </w:r>
    </w:p>
    <w:p w14:paraId="25C83266" w14:textId="77777777" w:rsidR="00792349" w:rsidRPr="00BF4357" w:rsidRDefault="00000000">
      <w:pPr>
        <w:widowControl/>
        <w:spacing w:after="80" w:line="286" w:lineRule="auto"/>
        <w:ind w:left="2270" w:right="2309"/>
        <w:jc w:val="center"/>
        <w:rPr>
          <w:color w:val="000000"/>
          <w:sz w:val="18"/>
          <w:szCs w:val="18"/>
          <w:lang w:val="en-GB"/>
        </w:rPr>
      </w:pPr>
      <w:r w:rsidRPr="00BF4357">
        <w:rPr>
          <w:color w:val="231F20"/>
          <w:sz w:val="18"/>
          <w:szCs w:val="18"/>
          <w:lang w:val="en-GB"/>
        </w:rPr>
        <w:t>Miguel Hernández Communication Journal mhjournal.org</w:t>
      </w:r>
    </w:p>
    <w:p w14:paraId="0C424B19" w14:textId="77777777" w:rsidR="00792349" w:rsidRPr="00BF4357" w:rsidRDefault="00792349">
      <w:pPr>
        <w:widowControl/>
        <w:spacing w:after="80" w:line="286" w:lineRule="auto"/>
        <w:ind w:left="638" w:right="675"/>
        <w:jc w:val="both"/>
        <w:rPr>
          <w:color w:val="000000"/>
          <w:sz w:val="20"/>
          <w:szCs w:val="20"/>
          <w:lang w:val="en-GB"/>
        </w:rPr>
      </w:pPr>
    </w:p>
    <w:sectPr w:rsidR="00792349" w:rsidRPr="00BF4357">
      <w:headerReference w:type="even" r:id="rId35"/>
      <w:headerReference w:type="default" r:id="rId36"/>
      <w:footerReference w:type="even" r:id="rId37"/>
      <w:footerReference w:type="default" r:id="rId38"/>
      <w:headerReference w:type="first" r:id="rId39"/>
      <w:footerReference w:type="first" r:id="rId40"/>
      <w:pgSz w:w="9640" w:h="13610"/>
      <w:pgMar w:top="1480" w:right="1000" w:bottom="1120" w:left="1040" w:header="1148" w:footer="919"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92113" w14:textId="77777777" w:rsidR="00061953" w:rsidRDefault="00061953">
      <w:r>
        <w:separator/>
      </w:r>
    </w:p>
  </w:endnote>
  <w:endnote w:type="continuationSeparator" w:id="0">
    <w:p w14:paraId="78D9117B" w14:textId="77777777" w:rsidR="00061953" w:rsidRDefault="00061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B Garamond">
    <w:altName w:val="Cambria"/>
    <w:charset w:val="00"/>
    <w:family w:val="auto"/>
    <w:pitch w:val="variable"/>
    <w:sig w:usb0="E00002FF" w:usb1="02000413" w:usb2="00000000" w:usb3="00000000" w:csb0="0000019F" w:csb1="00000000"/>
    <w:embedRegular r:id="rId1" w:fontKey="{DBCCC71A-058F-4296-A7DA-B9E73BBE232C}"/>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2" w:fontKey="{0BB57093-838B-4104-A6C1-98155B5B28BD}"/>
    <w:embedBold r:id="rId3" w:fontKey="{59E210D5-5091-4FE9-8CD6-725C93DC3FEB}"/>
    <w:embedItalic r:id="rId4" w:fontKey="{2F228315-5B47-41B8-9080-9C4B83567E1F}"/>
    <w:embedBoldItalic r:id="rId5" w:fontKey="{AC6C058A-02EF-4B18-9C20-ECE758C4287D}"/>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6" w:fontKey="{B33EBB9A-D82C-4015-9329-53E7D0779C75}"/>
  </w:font>
  <w:font w:name="Lucida Sans">
    <w:panose1 w:val="020B0602030504020204"/>
    <w:charset w:val="00"/>
    <w:family w:val="swiss"/>
    <w:pitch w:val="variable"/>
    <w:sig w:usb0="00000003" w:usb1="00000000" w:usb2="00000000" w:usb3="00000000" w:csb0="00000001" w:csb1="00000000"/>
    <w:embedRegular r:id="rId7" w:fontKey="{90D67035-3ECA-4ACC-9323-01B90B848511}"/>
    <w:embedItalic r:id="rId8" w:fontKey="{050A9821-9728-4543-8761-C9A9C28DB91E}"/>
  </w:font>
  <w:font w:name="Minion Pro">
    <w:charset w:val="00"/>
    <w:family w:val="roman"/>
    <w:pitch w:val="variable"/>
  </w:font>
  <w:font w:name="Georgia">
    <w:panose1 w:val="02040502050405020303"/>
    <w:charset w:val="00"/>
    <w:family w:val="roman"/>
    <w:pitch w:val="variable"/>
    <w:sig w:usb0="00000287" w:usb1="00000000" w:usb2="00000000" w:usb3="00000000" w:csb0="0000009F" w:csb1="00000000"/>
    <w:embedItalic r:id="rId9" w:fontKey="{D6541B17-A967-4C84-BD35-4AC48F2BE0A0}"/>
  </w:font>
  <w:font w:name="Arial Narrow">
    <w:panose1 w:val="020B0606020202030204"/>
    <w:charset w:val="00"/>
    <w:family w:val="swiss"/>
    <w:pitch w:val="variable"/>
    <w:sig w:usb0="00000287" w:usb1="00000800" w:usb2="00000000" w:usb3="00000000" w:csb0="0000009F" w:csb1="00000000"/>
    <w:embedRegular r:id="rId10" w:fontKey="{C77CF6FF-CDA7-4FFE-A568-B62A84A66971}"/>
  </w:font>
  <w:font w:name="Cambria">
    <w:panose1 w:val="02040503050406030204"/>
    <w:charset w:val="00"/>
    <w:family w:val="roman"/>
    <w:pitch w:val="variable"/>
    <w:sig w:usb0="E00006FF" w:usb1="420024FF" w:usb2="02000000" w:usb3="00000000" w:csb0="0000019F" w:csb1="00000000"/>
    <w:embedRegular r:id="rId11" w:fontKey="{F5211A8A-D3D1-46E6-BB63-ECCAEDA03B62}"/>
  </w:font>
  <w:font w:name="Calibri">
    <w:panose1 w:val="020F0502020204030204"/>
    <w:charset w:val="00"/>
    <w:family w:val="swiss"/>
    <w:pitch w:val="variable"/>
    <w:sig w:usb0="E4002EFF" w:usb1="C200247B" w:usb2="00000009" w:usb3="00000000" w:csb0="000001FF" w:csb1="00000000"/>
    <w:embedRegular r:id="rId12" w:fontKey="{897E4839-7013-47F9-A531-6D4894D11F2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B2BE0" w14:textId="77777777" w:rsidR="00792349" w:rsidRDefault="00792349">
    <w:pPr>
      <w:spacing w:line="14" w:lineRule="auto"/>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06824" w14:textId="77777777" w:rsidR="00792349" w:rsidRDefault="00792349">
    <w:pPr>
      <w:spacing w:line="14" w:lineRule="auto"/>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2A128" w14:textId="77777777" w:rsidR="00792349" w:rsidRDefault="00792349">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EFEC3" w14:textId="77777777" w:rsidR="00792349" w:rsidRDefault="00000000">
    <w:pPr>
      <w:spacing w:line="14" w:lineRule="auto"/>
      <w:rPr>
        <w:color w:val="000000"/>
        <w:sz w:val="20"/>
        <w:szCs w:val="20"/>
      </w:rPr>
    </w:pPr>
    <w:r>
      <w:rPr>
        <w:noProof/>
        <w:color w:val="000000"/>
        <w:sz w:val="20"/>
        <w:szCs w:val="20"/>
      </w:rPr>
      <mc:AlternateContent>
        <mc:Choice Requires="wps">
          <w:drawing>
            <wp:anchor distT="0" distB="0" distL="0" distR="0" simplePos="0" relativeHeight="251656192" behindDoc="1" locked="0" layoutInCell="1" allowOverlap="1" wp14:anchorId="7F5A8884" wp14:editId="4F343BB2">
              <wp:simplePos x="0" y="0"/>
              <wp:positionH relativeFrom="column">
                <wp:posOffset>2178050</wp:posOffset>
              </wp:positionH>
              <wp:positionV relativeFrom="paragraph">
                <wp:posOffset>7912100</wp:posOffset>
              </wp:positionV>
              <wp:extent cx="635" cy="12700"/>
              <wp:effectExtent l="5715" t="5080" r="5080" b="5715"/>
              <wp:wrapNone/>
              <wp:docPr id="5" name="Connecteur droit avec flèche 29"/>
              <wp:cNvGraphicFramePr/>
              <a:graphic xmlns:a="http://schemas.openxmlformats.org/drawingml/2006/main">
                <a:graphicData uri="http://schemas.microsoft.com/office/word/2010/wordprocessingShape">
                  <wps:wsp>
                    <wps:cNvCnPr/>
                    <wps:spPr>
                      <a:xfrm>
                        <a:off x="0" y="0"/>
                        <a:ext cx="720" cy="12600"/>
                      </a:xfrm>
                      <a:prstGeom prst="straightConnector1">
                        <a:avLst/>
                      </a:prstGeom>
                      <a:noFill/>
                      <a:ln w="9525">
                        <a:solidFill>
                          <a:srgbClr val="808080"/>
                        </a:solidFill>
                        <a:roun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xmlns:w16sdtfl="http://schemas.microsoft.com/office/word/2024/wordml/sdtformatlock" xmlns:w16du="http://schemas.microsoft.com/office/word/2023/wordml/word16du">
          <w:pict>
            <v:shapetype id="_x0000_t32" coordsize="21600,21600" o:spt="32" path="m,l21600,21600nfe">
              <v:stroke joinstyle="miter"/>
              <v:path gradientshapeok="t" o:connecttype="rect" textboxrect="0,0,21600,21600"/>
            </v:shapetype>
            <v:shape id="shape_0" stroked="t" o:allowincell="f" style="position:absolute;margin-left:171.5pt;margin-top:623pt;width:0pt;height:0.95pt;mso-wrap-style:none;v-text-anchor:middle" type="_x0000_t32" path="m0,0l-2147483648,-2147483647e">
              <v:fill o:detectmouseclick="t" on="false"/>
              <v:stroke color="gray" weight="9360" joinstyle="round" endcap="flat"/>
              <w10:wrap type="none"/>
            </v:shape>
          </w:pict>
        </mc:Fallback>
      </mc:AlternateContent>
    </w:r>
    <w:r>
      <w:rPr>
        <w:noProof/>
        <w:color w:val="000000"/>
        <w:sz w:val="20"/>
        <w:szCs w:val="20"/>
      </w:rPr>
      <mc:AlternateContent>
        <mc:Choice Requires="wps">
          <w:drawing>
            <wp:anchor distT="0" distB="0" distL="0" distR="0" simplePos="0" relativeHeight="251658240" behindDoc="1" locked="0" layoutInCell="1" allowOverlap="1" wp14:anchorId="21E2EC5D" wp14:editId="19927751">
              <wp:simplePos x="0" y="0"/>
              <wp:positionH relativeFrom="column">
                <wp:posOffset>2268220</wp:posOffset>
              </wp:positionH>
              <wp:positionV relativeFrom="paragraph">
                <wp:posOffset>7894955</wp:posOffset>
              </wp:positionV>
              <wp:extent cx="254635" cy="250190"/>
              <wp:effectExtent l="0" t="0" r="0" b="0"/>
              <wp:wrapNone/>
              <wp:docPr id="6" name="Rectangle 28"/>
              <wp:cNvGraphicFramePr/>
              <a:graphic xmlns:a="http://schemas.openxmlformats.org/drawingml/2006/main">
                <a:graphicData uri="http://schemas.microsoft.com/office/word/2010/wordprocessingShape">
                  <wps:wsp>
                    <wps:cNvSpPr/>
                    <wps:spPr>
                      <a:xfrm>
                        <a:off x="0" y="0"/>
                        <a:ext cx="254520" cy="250200"/>
                      </a:xfrm>
                      <a:prstGeom prst="rect">
                        <a:avLst/>
                      </a:prstGeom>
                      <a:noFill/>
                      <a:ln w="0">
                        <a:noFill/>
                      </a:ln>
                    </wps:spPr>
                    <wps:style>
                      <a:lnRef idx="0">
                        <a:scrgbClr r="0" g="0" b="0"/>
                      </a:lnRef>
                      <a:fillRef idx="0">
                        <a:scrgbClr r="0" g="0" b="0"/>
                      </a:fillRef>
                      <a:effectRef idx="0">
                        <a:scrgbClr r="0" g="0" b="0"/>
                      </a:effectRef>
                      <a:fontRef idx="minor"/>
                    </wps:style>
                    <wps:txbx>
                      <w:txbxContent>
                        <w:p w14:paraId="780908CD" w14:textId="77777777" w:rsidR="00792349" w:rsidRDefault="00000000">
                          <w:pPr>
                            <w:pStyle w:val="Contenidodelmarco"/>
                            <w:spacing w:before="20"/>
                            <w:ind w:left="60" w:firstLine="120"/>
                          </w:pPr>
                          <w:r>
                            <w:rPr>
                              <w:rFonts w:ascii="EB Garamond" w:eastAsia="EB Garamond" w:hAnsi="EB Garamond" w:cs="EB Garamond"/>
                              <w:color w:val="D49988"/>
                              <w:sz w:val="24"/>
                            </w:rPr>
                            <w:t xml:space="preserve"> PAGE 5</w:t>
                          </w:r>
                        </w:p>
                      </w:txbxContent>
                    </wps:txbx>
                    <wps:bodyPr lIns="0" tIns="0" rIns="0" bIns="0" anchor="t">
                      <a:noAutofit/>
                    </wps:bodyPr>
                  </wps:wsp>
                </a:graphicData>
              </a:graphic>
            </wp:anchor>
          </w:drawing>
        </mc:Choice>
        <mc:Fallback>
          <w:pict>
            <v:rect w14:anchorId="21E2EC5D" id="Rectangle 28" o:spid="_x0000_s1027" style="position:absolute;margin-left:178.6pt;margin-top:621.65pt;width:20.05pt;height:19.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" filled="f" stroked="f" strokeweight="0">
              <v:textbox inset="0,0,0,0">
                <w:txbxContent>
                  <w:p w14:paraId="780908CD" w14:textId="77777777" w:rsidR="00792349" w:rsidRDefault="00000000">
                    <w:pPr>
                      <w:pStyle w:val="Contenidodelmarco"/>
                      <w:spacing w:before="20"/>
                      <w:ind w:left="60" w:firstLine="120"/>
                    </w:pPr>
                    <w:r>
                      <w:rPr>
                        <w:rFonts w:ascii="EB Garamond" w:eastAsia="EB Garamond" w:hAnsi="EB Garamond" w:cs="EB Garamond"/>
                        <w:color w:val="D49988"/>
                        <w:sz w:val="24"/>
                      </w:rPr>
                      <w:t xml:space="preserve"> PAGE 5</w:t>
                    </w:r>
                  </w:p>
                </w:txbxContent>
              </v:textbox>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751C1" w14:textId="77777777" w:rsidR="00792349" w:rsidRDefault="00000000">
    <w:pPr>
      <w:spacing w:line="14" w:lineRule="auto"/>
      <w:rPr>
        <w:color w:val="000000"/>
        <w:sz w:val="20"/>
        <w:szCs w:val="20"/>
      </w:rPr>
    </w:pPr>
    <w:r>
      <w:rPr>
        <w:noProof/>
        <w:color w:val="000000"/>
        <w:sz w:val="20"/>
        <w:szCs w:val="20"/>
      </w:rPr>
      <mc:AlternateContent>
        <mc:Choice Requires="wps">
          <w:drawing>
            <wp:anchor distT="0" distB="0" distL="0" distR="0" simplePos="0" relativeHeight="251657216" behindDoc="1" locked="0" layoutInCell="1" allowOverlap="1" wp14:anchorId="22F81580" wp14:editId="225D9662">
              <wp:simplePos x="0" y="0"/>
              <wp:positionH relativeFrom="column">
                <wp:posOffset>2178050</wp:posOffset>
              </wp:positionH>
              <wp:positionV relativeFrom="paragraph">
                <wp:posOffset>7912100</wp:posOffset>
              </wp:positionV>
              <wp:extent cx="635" cy="12700"/>
              <wp:effectExtent l="5715" t="5080" r="5080" b="5715"/>
              <wp:wrapNone/>
              <wp:docPr id="7" name="Connecteur droit avec flèche 29"/>
              <wp:cNvGraphicFramePr/>
              <a:graphic xmlns:a="http://schemas.openxmlformats.org/drawingml/2006/main">
                <a:graphicData uri="http://schemas.microsoft.com/office/word/2010/wordprocessingShape">
                  <wps:wsp>
                    <wps:cNvCnPr/>
                    <wps:spPr>
                      <a:xfrm>
                        <a:off x="0" y="0"/>
                        <a:ext cx="720" cy="12600"/>
                      </a:xfrm>
                      <a:prstGeom prst="straightConnector1">
                        <a:avLst/>
                      </a:prstGeom>
                      <a:noFill/>
                      <a:ln w="9525">
                        <a:solidFill>
                          <a:srgbClr val="808080"/>
                        </a:solidFill>
                        <a:round/>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xmlns:w16sdtfl="http://schemas.microsoft.com/office/word/2024/wordml/sdtformatlock" xmlns:w16du="http://schemas.microsoft.com/office/word/2023/wordml/word16du">
          <w:pict>
            <v:shape id="shape_0" stroked="t" o:allowincell="f" style="position:absolute;margin-left:171.5pt;margin-top:623pt;width:0pt;height:0.95pt;mso-wrap-style:none;v-text-anchor:middle" type="_x0000_t32" path="m0,0l-2147483648,-2147483647e">
              <v:fill o:detectmouseclick="t" on="false"/>
              <v:stroke color="gray" weight="9360" joinstyle="round" endcap="flat"/>
              <w10:wrap type="none"/>
            </v:shape>
          </w:pict>
        </mc:Fallback>
      </mc:AlternateContent>
    </w:r>
    <w:r>
      <w:rPr>
        <w:noProof/>
        <w:color w:val="000000"/>
        <w:sz w:val="20"/>
        <w:szCs w:val="20"/>
      </w:rPr>
      <mc:AlternateContent>
        <mc:Choice Requires="wps">
          <w:drawing>
            <wp:anchor distT="0" distB="0" distL="0" distR="0" simplePos="0" relativeHeight="251659264" behindDoc="1" locked="0" layoutInCell="1" allowOverlap="1" wp14:anchorId="7B5F00FE" wp14:editId="06B616D9">
              <wp:simplePos x="0" y="0"/>
              <wp:positionH relativeFrom="column">
                <wp:posOffset>2268220</wp:posOffset>
              </wp:positionH>
              <wp:positionV relativeFrom="paragraph">
                <wp:posOffset>7894955</wp:posOffset>
              </wp:positionV>
              <wp:extent cx="254635" cy="250190"/>
              <wp:effectExtent l="0" t="0" r="0" b="0"/>
              <wp:wrapNone/>
              <wp:docPr id="8" name="Rectangle 28"/>
              <wp:cNvGraphicFramePr/>
              <a:graphic xmlns:a="http://schemas.openxmlformats.org/drawingml/2006/main">
                <a:graphicData uri="http://schemas.microsoft.com/office/word/2010/wordprocessingShape">
                  <wps:wsp>
                    <wps:cNvSpPr/>
                    <wps:spPr>
                      <a:xfrm>
                        <a:off x="0" y="0"/>
                        <a:ext cx="254520" cy="250200"/>
                      </a:xfrm>
                      <a:prstGeom prst="rect">
                        <a:avLst/>
                      </a:prstGeom>
                      <a:noFill/>
                      <a:ln w="0">
                        <a:noFill/>
                      </a:ln>
                    </wps:spPr>
                    <wps:style>
                      <a:lnRef idx="0">
                        <a:scrgbClr r="0" g="0" b="0"/>
                      </a:lnRef>
                      <a:fillRef idx="0">
                        <a:scrgbClr r="0" g="0" b="0"/>
                      </a:fillRef>
                      <a:effectRef idx="0">
                        <a:scrgbClr r="0" g="0" b="0"/>
                      </a:effectRef>
                      <a:fontRef idx="minor"/>
                    </wps:style>
                    <wps:txbx>
                      <w:txbxContent>
                        <w:p w14:paraId="5718F875" w14:textId="77777777" w:rsidR="00792349" w:rsidRDefault="00000000">
                          <w:pPr>
                            <w:pStyle w:val="Contenidodelmarco"/>
                            <w:spacing w:before="20"/>
                            <w:ind w:left="60" w:firstLine="120"/>
                          </w:pPr>
                          <w:r>
                            <w:rPr>
                              <w:rFonts w:ascii="EB Garamond" w:eastAsia="EB Garamond" w:hAnsi="EB Garamond" w:cs="EB Garamond"/>
                              <w:color w:val="D49988"/>
                              <w:sz w:val="24"/>
                            </w:rPr>
                            <w:t xml:space="preserve"> PAGE 5</w:t>
                          </w:r>
                        </w:p>
                      </w:txbxContent>
                    </wps:txbx>
                    <wps:bodyPr lIns="0" tIns="0" rIns="0" bIns="0" anchor="t">
                      <a:noAutofit/>
                    </wps:bodyPr>
                  </wps:wsp>
                </a:graphicData>
              </a:graphic>
            </wp:anchor>
          </w:drawing>
        </mc:Choice>
        <mc:Fallback>
          <w:pict>
            <v:rect w14:anchorId="7B5F00FE" id="_x0000_s1028" style="position:absolute;margin-left:178.6pt;margin-top:621.65pt;width:20.05pt;height:19.7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" filled="f" stroked="f" strokeweight="0">
              <v:textbox inset="0,0,0,0">
                <w:txbxContent>
                  <w:p w14:paraId="5718F875" w14:textId="77777777" w:rsidR="00792349" w:rsidRDefault="00000000">
                    <w:pPr>
                      <w:pStyle w:val="Contenidodelmarco"/>
                      <w:spacing w:before="20"/>
                      <w:ind w:left="60" w:firstLine="120"/>
                    </w:pPr>
                    <w:r>
                      <w:rPr>
                        <w:rFonts w:ascii="EB Garamond" w:eastAsia="EB Garamond" w:hAnsi="EB Garamond" w:cs="EB Garamond"/>
                        <w:color w:val="D49988"/>
                        <w:sz w:val="24"/>
                      </w:rPr>
                      <w:t xml:space="preserve"> PAGE 5</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CD973" w14:textId="77777777" w:rsidR="00061953" w:rsidRDefault="00061953">
      <w:r>
        <w:separator/>
      </w:r>
    </w:p>
  </w:footnote>
  <w:footnote w:type="continuationSeparator" w:id="0">
    <w:p w14:paraId="652E2B07" w14:textId="77777777" w:rsidR="00061953" w:rsidRDefault="00061953">
      <w:r>
        <w:continuationSeparator/>
      </w:r>
    </w:p>
  </w:footnote>
  <w:footnote w:id="1">
    <w:p w14:paraId="12973F01" w14:textId="77777777" w:rsidR="00792349" w:rsidRPr="00BF4357" w:rsidRDefault="00000000">
      <w:pPr>
        <w:pStyle w:val="Textonotapie"/>
        <w:rPr>
          <w:lang w:val="en-GB"/>
        </w:rPr>
      </w:pPr>
      <w:r>
        <w:rPr>
          <w:rStyle w:val="Caracteresdenotaalpie"/>
        </w:rPr>
        <w:footnoteRef/>
      </w:r>
      <w:r w:rsidRPr="00BF4357">
        <w:rPr>
          <w:lang w:val="en-GB"/>
        </w:rPr>
        <w:t xml:space="preserve"> Its </w:t>
      </w:r>
      <w:proofErr w:type="spellStart"/>
      <w:r w:rsidRPr="00BF4357">
        <w:rPr>
          <w:lang w:val="en-GB"/>
        </w:rPr>
        <w:t>catalog</w:t>
      </w:r>
      <w:proofErr w:type="spellEnd"/>
      <w:r w:rsidRPr="00BF4357">
        <w:rPr>
          <w:lang w:val="en-GB"/>
        </w:rPr>
        <w:t xml:space="preserve"> includes 9 feature films, 3 series, and 13 short films: </w:t>
      </w:r>
      <w:hyperlink r:id="rId1">
        <w:r w:rsidRPr="00BF4357">
          <w:rPr>
            <w:rStyle w:val="Hipervnculo"/>
            <w:lang w:val="en-GB"/>
          </w:rPr>
          <w:t>http://www.txintxua.com/es/peliculas</w:t>
        </w:r>
      </w:hyperlink>
      <w:r w:rsidRPr="00BF4357">
        <w:rPr>
          <w:lang w:val="en-GB"/>
        </w:rPr>
        <w:t xml:space="preserve"> (last accessed: August 2025).</w:t>
      </w:r>
    </w:p>
    <w:p w14:paraId="4F58B75E" w14:textId="77777777" w:rsidR="00792349" w:rsidRPr="00BF4357" w:rsidRDefault="00792349">
      <w:pPr>
        <w:pStyle w:val="Textonotapie"/>
        <w:rPr>
          <w:lang w:val="en-GB"/>
        </w:rPr>
      </w:pPr>
    </w:p>
  </w:footnote>
  <w:footnote w:id="2">
    <w:p w14:paraId="197F7F39" w14:textId="77777777" w:rsidR="00792349" w:rsidRPr="00BF4357" w:rsidRDefault="00000000">
      <w:pPr>
        <w:pStyle w:val="Textonotapie"/>
        <w:rPr>
          <w:lang w:val="en-GB"/>
        </w:rPr>
      </w:pPr>
      <w:r>
        <w:rPr>
          <w:rStyle w:val="Caracteresdenotaalpie"/>
        </w:rPr>
        <w:footnoteRef/>
      </w:r>
      <w:r w:rsidRPr="00BF4357">
        <w:rPr>
          <w:lang w:val="en-GB"/>
        </w:rPr>
        <w:t xml:space="preserve"> This statement appears on the website of </w:t>
      </w:r>
      <w:proofErr w:type="spellStart"/>
      <w:r w:rsidRPr="00BF4357">
        <w:rPr>
          <w:lang w:val="en-GB"/>
        </w:rPr>
        <w:t>Triodos</w:t>
      </w:r>
      <w:proofErr w:type="spellEnd"/>
      <w:r w:rsidRPr="00BF4357">
        <w:rPr>
          <w:lang w:val="en-GB"/>
        </w:rPr>
        <w:t xml:space="preserve"> Bank, which helped finance the film </w:t>
      </w:r>
      <w:proofErr w:type="spellStart"/>
      <w:r w:rsidRPr="00BF4357">
        <w:rPr>
          <w:i/>
          <w:iCs/>
          <w:lang w:val="en-GB"/>
        </w:rPr>
        <w:t>Altuna</w:t>
      </w:r>
      <w:proofErr w:type="spellEnd"/>
      <w:r w:rsidRPr="00BF4357">
        <w:rPr>
          <w:i/>
          <w:iCs/>
          <w:lang w:val="en-GB"/>
        </w:rPr>
        <w:t xml:space="preserve"> </w:t>
      </w:r>
      <w:proofErr w:type="spellStart"/>
      <w:r w:rsidRPr="00BF4357">
        <w:rPr>
          <w:i/>
          <w:iCs/>
          <w:lang w:val="en-GB"/>
        </w:rPr>
        <w:t>Amamá</w:t>
      </w:r>
      <w:proofErr w:type="spellEnd"/>
      <w:r w:rsidRPr="00BF4357">
        <w:rPr>
          <w:lang w:val="en-GB"/>
        </w:rPr>
        <w:t xml:space="preserve"> (2015): </w:t>
      </w:r>
      <w:hyperlink r:id="rId2">
        <w:r w:rsidRPr="00BF4357">
          <w:rPr>
            <w:rStyle w:val="Hipervnculo"/>
            <w:lang w:val="en-GB"/>
          </w:rPr>
          <w:t>https://www.triodos.com/en/projects/txintxua-films</w:t>
        </w:r>
      </w:hyperlink>
      <w:r w:rsidRPr="00BF4357">
        <w:rPr>
          <w:lang w:val="en-GB"/>
        </w:rPr>
        <w:t xml:space="preserve"> (last accessed: August 2025).</w:t>
      </w:r>
    </w:p>
  </w:footnote>
  <w:footnote w:id="3">
    <w:p w14:paraId="4B405AAA" w14:textId="77777777" w:rsidR="00792349" w:rsidRPr="00BF4357" w:rsidRDefault="00000000">
      <w:pPr>
        <w:pStyle w:val="Textonotapie"/>
        <w:rPr>
          <w:lang w:val="en-GB"/>
        </w:rPr>
      </w:pPr>
      <w:r>
        <w:rPr>
          <w:rStyle w:val="Caracteresdenotaalpie"/>
        </w:rPr>
        <w:footnoteRef/>
      </w:r>
      <w:r w:rsidRPr="00BF4357">
        <w:rPr>
          <w:lang w:val="en-GB"/>
        </w:rPr>
        <w:t xml:space="preserve"> According to the </w:t>
      </w:r>
      <w:proofErr w:type="spellStart"/>
      <w:r w:rsidRPr="00BF4357">
        <w:rPr>
          <w:i/>
          <w:iCs/>
          <w:lang w:val="en-GB"/>
        </w:rPr>
        <w:t>Intimidad</w:t>
      </w:r>
      <w:proofErr w:type="spellEnd"/>
      <w:r w:rsidRPr="00BF4357">
        <w:rPr>
          <w:lang w:val="en-GB"/>
        </w:rPr>
        <w:t xml:space="preserve"> press kit available at </w:t>
      </w:r>
      <w:hyperlink r:id="rId3">
        <w:r w:rsidRPr="00BF4357">
          <w:rPr>
            <w:rStyle w:val="Hipervnculo"/>
            <w:lang w:val="en-GB"/>
          </w:rPr>
          <w:t>http://www.txintxua.com/en/films/intimacy</w:t>
        </w:r>
      </w:hyperlink>
      <w:r w:rsidRPr="00BF4357">
        <w:rPr>
          <w:lang w:val="en-GB"/>
        </w:rPr>
        <w:t xml:space="preserve"> (last accessed: August 2025).</w:t>
      </w:r>
    </w:p>
  </w:footnote>
  <w:footnote w:id="4">
    <w:p w14:paraId="7EE304FE" w14:textId="7BA9E9E1" w:rsidR="00792349" w:rsidRPr="00BF4357" w:rsidRDefault="00000000">
      <w:pPr>
        <w:pStyle w:val="Textonotapie"/>
        <w:jc w:val="both"/>
        <w:rPr>
          <w:lang w:val="en-GB"/>
        </w:rPr>
      </w:pPr>
      <w:r>
        <w:rPr>
          <w:rStyle w:val="Caracteresdenotaalpie"/>
        </w:rPr>
        <w:footnoteRef/>
      </w:r>
      <w:r w:rsidR="00BF4357">
        <w:rPr>
          <w:lang w:val="en-GB"/>
        </w:rPr>
        <w:t xml:space="preserve"> </w:t>
      </w:r>
      <w:r w:rsidRPr="00BF4357">
        <w:rPr>
          <w:rFonts w:cs="Times New Roman"/>
          <w:lang w:val="en-GB"/>
        </w:rPr>
        <w:t xml:space="preserve">Source: </w:t>
      </w:r>
      <w:hyperlink r:id="rId4">
        <w:r w:rsidRPr="00BF4357">
          <w:rPr>
            <w:rStyle w:val="Hipervnculo"/>
            <w:rFonts w:cs="Times New Roman"/>
            <w:lang w:val="en-GB"/>
          </w:rPr>
          <w:t>https://about.netflix.com/es/news/what-we-watched-the-first-half-of-2025</w:t>
        </w:r>
      </w:hyperlink>
      <w:r w:rsidRPr="00BF4357">
        <w:rPr>
          <w:rFonts w:cs="Times New Roman"/>
          <w:lang w:val="en-GB"/>
        </w:rPr>
        <w:t xml:space="preserve"> (last accessed: August 2025).</w:t>
      </w:r>
    </w:p>
  </w:footnote>
  <w:footnote w:id="5">
    <w:p w14:paraId="3F109A89" w14:textId="170F315B" w:rsidR="00BF4357" w:rsidRPr="00BF4357" w:rsidRDefault="00BF4357" w:rsidP="00BF4357">
      <w:pPr>
        <w:pStyle w:val="Textonotapie"/>
        <w:rPr>
          <w:lang w:val="en-GB"/>
        </w:rPr>
      </w:pPr>
      <w:r>
        <w:rPr>
          <w:rStyle w:val="Refdenotaalpie"/>
        </w:rPr>
        <w:footnoteRef/>
      </w:r>
      <w:r>
        <w:rPr>
          <w:lang w:val="en-GB"/>
        </w:rPr>
        <w:t xml:space="preserve">     S</w:t>
      </w:r>
      <w:r w:rsidRPr="00BF4357">
        <w:rPr>
          <w:lang w:val="en-GB"/>
        </w:rPr>
        <w:t>ource: https://about.netflix.com/es/news/what-we-watched-the-second-half-of-2023</w:t>
      </w:r>
      <w:r>
        <w:rPr>
          <w:lang w:val="en-GB"/>
        </w:rPr>
        <w:t xml:space="preserve"> and</w:t>
      </w:r>
    </w:p>
    <w:p w14:paraId="19E1D6A0" w14:textId="6897CDA2" w:rsidR="00BF4357" w:rsidRPr="00BF4357" w:rsidRDefault="00BF4357" w:rsidP="00BF4357">
      <w:pPr>
        <w:pStyle w:val="Textonotapie"/>
        <w:rPr>
          <w:lang w:val="en-GB"/>
        </w:rPr>
      </w:pPr>
      <w:r w:rsidRPr="00BF4357">
        <w:rPr>
          <w:lang w:val="en-GB"/>
        </w:rPr>
        <w:t>https://about.netflix.com/es/news/what-we-watched-the-first-half-of-2024 (last accessed: August 2025)</w:t>
      </w:r>
    </w:p>
  </w:footnote>
  <w:footnote w:id="6">
    <w:p w14:paraId="3C8AC060" w14:textId="2373FBE4" w:rsidR="00BF4357" w:rsidRPr="00BF4357" w:rsidRDefault="00BF4357" w:rsidP="00BF4357">
      <w:pPr>
        <w:pStyle w:val="Textonotapie"/>
        <w:rPr>
          <w:lang w:val="en-GB"/>
        </w:rPr>
      </w:pPr>
      <w:r>
        <w:rPr>
          <w:rStyle w:val="Refdenotaalpie"/>
        </w:rPr>
        <w:footnoteRef/>
      </w:r>
      <w:r w:rsidRPr="00BF4357">
        <w:rPr>
          <w:lang w:val="en-GB"/>
        </w:rPr>
        <w:t xml:space="preserve">     Fuente: </w:t>
      </w:r>
      <w:hyperlink r:id="rId5" w:history="1">
        <w:r w:rsidRPr="00BF4357">
          <w:rPr>
            <w:rStyle w:val="Hipervnculo"/>
            <w:lang w:val="en-GB"/>
          </w:rPr>
          <w:t>https://about.netflix.com/es/news/what-we-watched-the-first-half-of-2025</w:t>
        </w:r>
      </w:hyperlink>
      <w:r w:rsidRPr="00BF4357">
        <w:rPr>
          <w:lang w:val="en-GB"/>
        </w:rPr>
        <w:t xml:space="preserve">  (last accessed: August 2025)</w:t>
      </w:r>
    </w:p>
  </w:footnote>
  <w:footnote w:id="7">
    <w:p w14:paraId="2F940B6B" w14:textId="0159CA88" w:rsidR="00BF4357" w:rsidRPr="00BF4357" w:rsidRDefault="00BF4357">
      <w:pPr>
        <w:pStyle w:val="Textonotapie"/>
        <w:rPr>
          <w:lang w:val="es-ES"/>
        </w:rPr>
      </w:pPr>
      <w:r>
        <w:rPr>
          <w:rStyle w:val="Refdenotaalpie"/>
        </w:rPr>
        <w:footnoteRef/>
      </w:r>
      <w:r>
        <w:t xml:space="preserve"> </w:t>
      </w:r>
      <w:r w:rsidRPr="00BF4357">
        <w:rPr>
          <w:i/>
          <w:iCs/>
        </w:rPr>
        <w:t>Ibidem</w:t>
      </w:r>
      <w:r>
        <w:rPr>
          <w:i/>
          <w:iCs/>
        </w:rPr>
        <w:t>.</w:t>
      </w:r>
    </w:p>
  </w:footnote>
  <w:footnote w:id="8">
    <w:p w14:paraId="5DD168BB" w14:textId="2EFE0867" w:rsidR="00BF4357" w:rsidRPr="00BF4357" w:rsidRDefault="00BF4357" w:rsidP="00BF4357">
      <w:pPr>
        <w:pStyle w:val="Textonotapie"/>
        <w:rPr>
          <w:lang w:val="en-GB"/>
        </w:rPr>
      </w:pPr>
      <w:r>
        <w:rPr>
          <w:rStyle w:val="Refdenotaalpie"/>
        </w:rPr>
        <w:footnoteRef/>
      </w:r>
      <w:r w:rsidRPr="00BF4357">
        <w:rPr>
          <w:lang w:val="en-GB"/>
        </w:rPr>
        <w:t xml:space="preserve"> MCU figures place it at number 16 among Spanish films released in cinemas</w:t>
      </w:r>
      <w:r>
        <w:rPr>
          <w:lang w:val="en-GB"/>
        </w:rPr>
        <w:t xml:space="preserve"> </w:t>
      </w:r>
      <w:r w:rsidRPr="00BF4357">
        <w:rPr>
          <w:lang w:val="en-GB"/>
        </w:rPr>
        <w:t>in 2024, with 236,505 admissions. International box office figures show just one</w:t>
      </w:r>
      <w:r>
        <w:rPr>
          <w:lang w:val="en-GB"/>
        </w:rPr>
        <w:t xml:space="preserve"> </w:t>
      </w:r>
      <w:r w:rsidRPr="00BF4357">
        <w:rPr>
          <w:lang w:val="en-GB"/>
        </w:rPr>
        <w:t>territory where the film was released abroad in 2024, with takings of €350,000. According to the</w:t>
      </w:r>
      <w:r>
        <w:rPr>
          <w:lang w:val="en-GB"/>
        </w:rPr>
        <w:t xml:space="preserve"> </w:t>
      </w:r>
      <w:r w:rsidRPr="00BF4357">
        <w:rPr>
          <w:lang w:val="en-GB"/>
        </w:rPr>
        <w:t xml:space="preserve">information we have, this is France, where </w:t>
      </w:r>
      <w:proofErr w:type="spellStart"/>
      <w:r w:rsidRPr="00BF4357">
        <w:rPr>
          <w:lang w:val="en-GB"/>
        </w:rPr>
        <w:t>Bollaín’s</w:t>
      </w:r>
      <w:proofErr w:type="spellEnd"/>
      <w:r w:rsidRPr="00BF4357">
        <w:rPr>
          <w:lang w:val="en-GB"/>
        </w:rPr>
        <w:t xml:space="preserve"> film – like much of</w:t>
      </w:r>
      <w:r>
        <w:rPr>
          <w:lang w:val="en-GB"/>
        </w:rPr>
        <w:t xml:space="preserve"> </w:t>
      </w:r>
      <w:r w:rsidRPr="00BF4357">
        <w:rPr>
          <w:lang w:val="en-GB"/>
        </w:rPr>
        <w:t>contemporary Spanish-language cinema – is usually well received as it is considered educational material</w:t>
      </w:r>
      <w:r>
        <w:rPr>
          <w:lang w:val="en-GB"/>
        </w:rPr>
        <w:t xml:space="preserve"> </w:t>
      </w:r>
      <w:r w:rsidRPr="00BF4357">
        <w:rPr>
          <w:lang w:val="en-GB"/>
        </w:rPr>
        <w:t>for teaching Spanish as a foreign language in secondary schools. In fact, the website of the</w:t>
      </w:r>
      <w:r>
        <w:rPr>
          <w:lang w:val="en-GB"/>
        </w:rPr>
        <w:t xml:space="preserve"> </w:t>
      </w:r>
      <w:r w:rsidRPr="00BF4357">
        <w:rPr>
          <w:lang w:val="en-GB"/>
        </w:rPr>
        <w:t>distributor, Epicentre Films, offers an educational resource to facilitate the use of</w:t>
      </w:r>
      <w:r>
        <w:rPr>
          <w:lang w:val="en-GB"/>
        </w:rPr>
        <w:t xml:space="preserve"> </w:t>
      </w:r>
      <w:r w:rsidRPr="00BF4357">
        <w:rPr>
          <w:lang w:val="en-GB"/>
        </w:rPr>
        <w:t>the film in the classroom. The French website allocine.fr reports a cumulative total of 60,566 admissions between</w:t>
      </w:r>
      <w:r>
        <w:rPr>
          <w:lang w:val="en-GB"/>
        </w:rPr>
        <w:t xml:space="preserve"> </w:t>
      </w:r>
      <w:r w:rsidRPr="00BF4357">
        <w:rPr>
          <w:lang w:val="en-GB"/>
        </w:rPr>
        <w:t>its release on 6 November 2024 and July 2025, with the best results achieved</w:t>
      </w:r>
      <w:r>
        <w:rPr>
          <w:lang w:val="en-GB"/>
        </w:rPr>
        <w:t xml:space="preserve"> </w:t>
      </w:r>
      <w:r w:rsidRPr="00BF4357">
        <w:rPr>
          <w:lang w:val="en-GB"/>
        </w:rPr>
        <w:t xml:space="preserve">during the first week (19,666 admissions). At that time in France, </w:t>
      </w:r>
      <w:r w:rsidRPr="00BF4357">
        <w:rPr>
          <w:i/>
          <w:iCs/>
          <w:lang w:val="en-GB"/>
        </w:rPr>
        <w:t>Soy Nevenka</w:t>
      </w:r>
      <w:r w:rsidRPr="00BF4357">
        <w:rPr>
          <w:lang w:val="en-GB"/>
        </w:rPr>
        <w:t xml:space="preserve"> was</w:t>
      </w:r>
      <w:r>
        <w:rPr>
          <w:lang w:val="en-GB"/>
        </w:rPr>
        <w:t xml:space="preserve"> </w:t>
      </w:r>
      <w:r w:rsidRPr="00BF4357">
        <w:rPr>
          <w:lang w:val="en-GB"/>
        </w:rPr>
        <w:t xml:space="preserve">competing against the successful French film </w:t>
      </w:r>
      <w:proofErr w:type="spellStart"/>
      <w:r w:rsidRPr="00BF4357">
        <w:rPr>
          <w:i/>
          <w:iCs/>
          <w:lang w:val="en-GB"/>
        </w:rPr>
        <w:t>L’Amour</w:t>
      </w:r>
      <w:proofErr w:type="spellEnd"/>
      <w:r w:rsidRPr="00BF4357">
        <w:rPr>
          <w:i/>
          <w:iCs/>
          <w:lang w:val="en-GB"/>
        </w:rPr>
        <w:t xml:space="preserve"> </w:t>
      </w:r>
      <w:proofErr w:type="spellStart"/>
      <w:r w:rsidRPr="00BF4357">
        <w:rPr>
          <w:i/>
          <w:iCs/>
          <w:lang w:val="en-GB"/>
        </w:rPr>
        <w:t>ouf</w:t>
      </w:r>
      <w:proofErr w:type="spellEnd"/>
      <w:r w:rsidRPr="00BF4357">
        <w:rPr>
          <w:lang w:val="en-GB"/>
        </w:rPr>
        <w:t xml:space="preserve"> as well as the American blockbuster</w:t>
      </w:r>
      <w:r>
        <w:rPr>
          <w:lang w:val="en-GB"/>
        </w:rPr>
        <w:t xml:space="preserve"> </w:t>
      </w:r>
      <w:r w:rsidRPr="00BF4357">
        <w:rPr>
          <w:i/>
          <w:iCs/>
          <w:lang w:val="en-GB"/>
        </w:rPr>
        <w:t>Gladiator II</w:t>
      </w:r>
      <w:r w:rsidRPr="00BF4357">
        <w:rPr>
          <w:lang w:val="en-GB"/>
        </w:rPr>
        <w:t>, which attracted almost 5 million and 3 million admissions respectively in France.</w:t>
      </w:r>
    </w:p>
  </w:footnote>
  <w:footnote w:id="9">
    <w:p w14:paraId="08A9C9E0" w14:textId="76735EDB" w:rsidR="00BF4357" w:rsidRPr="00BF4357" w:rsidRDefault="00BF4357">
      <w:pPr>
        <w:pStyle w:val="Textonotapie"/>
        <w:rPr>
          <w:lang w:val="en-GB"/>
        </w:rPr>
      </w:pPr>
      <w:r>
        <w:rPr>
          <w:rStyle w:val="Refdenotaalpie"/>
        </w:rPr>
        <w:footnoteRef/>
      </w:r>
      <w:r w:rsidRPr="00BF4357">
        <w:rPr>
          <w:lang w:val="en-GB"/>
        </w:rPr>
        <w:t xml:space="preserve"> A plot structure that seems to be a duplicate of </w:t>
      </w:r>
      <w:proofErr w:type="spellStart"/>
      <w:r w:rsidRPr="00BF4357">
        <w:rPr>
          <w:i/>
          <w:iCs/>
          <w:lang w:val="en-GB"/>
        </w:rPr>
        <w:t>Te</w:t>
      </w:r>
      <w:proofErr w:type="spellEnd"/>
      <w:r w:rsidRPr="00BF4357">
        <w:rPr>
          <w:i/>
          <w:iCs/>
          <w:lang w:val="en-GB"/>
        </w:rPr>
        <w:t xml:space="preserve"> </w:t>
      </w:r>
      <w:proofErr w:type="spellStart"/>
      <w:r w:rsidRPr="00BF4357">
        <w:rPr>
          <w:i/>
          <w:iCs/>
          <w:lang w:val="en-GB"/>
        </w:rPr>
        <w:t>doy</w:t>
      </w:r>
      <w:proofErr w:type="spellEnd"/>
      <w:r w:rsidRPr="00BF4357">
        <w:rPr>
          <w:i/>
          <w:iCs/>
          <w:lang w:val="en-GB"/>
        </w:rPr>
        <w:t xml:space="preserve"> mis </w:t>
      </w:r>
      <w:proofErr w:type="spellStart"/>
      <w:r w:rsidRPr="00BF4357">
        <w:rPr>
          <w:i/>
          <w:iCs/>
          <w:lang w:val="en-GB"/>
        </w:rPr>
        <w:t>ojos</w:t>
      </w:r>
      <w:proofErr w:type="spellEnd"/>
      <w:r w:rsidRPr="00BF4357">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0F9DF" w14:textId="205752B4" w:rsidR="00792349" w:rsidRPr="00BF4357" w:rsidRDefault="00000000">
    <w:pPr>
      <w:spacing w:before="20"/>
      <w:ind w:left="20" w:firstLine="20"/>
      <w:rPr>
        <w:color w:val="8E1400"/>
        <w:lang w:val="en-GB"/>
      </w:rPr>
    </w:pPr>
    <w:proofErr w:type="spellStart"/>
    <w:r w:rsidRPr="00BF4357">
      <w:rPr>
        <w:rFonts w:ascii="EB Garamond" w:eastAsia="EB Garamond" w:hAnsi="EB Garamond" w:cs="EB Garamond"/>
        <w:color w:val="8E1400"/>
        <w:sz w:val="20"/>
        <w:szCs w:val="20"/>
        <w:lang w:val="en-GB"/>
      </w:rPr>
      <w:t>MHJournal</w:t>
    </w:r>
    <w:proofErr w:type="spellEnd"/>
    <w:r w:rsidRPr="00BF4357">
      <w:rPr>
        <w:rFonts w:ascii="EB Garamond" w:eastAsia="EB Garamond" w:hAnsi="EB Garamond" w:cs="EB Garamond"/>
        <w:color w:val="8E1400"/>
        <w:sz w:val="20"/>
        <w:szCs w:val="20"/>
        <w:lang w:val="en-GB"/>
      </w:rPr>
      <w:t xml:space="preserve"> Vol. 17 (1) | </w:t>
    </w:r>
    <w:r w:rsidR="00BF4357" w:rsidRPr="00BF4357">
      <w:rPr>
        <w:rFonts w:ascii="EB Garamond" w:eastAsia="EB Garamond" w:hAnsi="EB Garamond" w:cs="EB Garamond"/>
        <w:color w:val="8E1400"/>
        <w:sz w:val="20"/>
        <w:szCs w:val="20"/>
        <w:lang w:val="en-GB"/>
      </w:rPr>
      <w:t>Year</w:t>
    </w:r>
    <w:r w:rsidRPr="00BF4357">
      <w:rPr>
        <w:rFonts w:ascii="EB Garamond" w:eastAsia="EB Garamond" w:hAnsi="EB Garamond" w:cs="EB Garamond"/>
        <w:color w:val="8E1400"/>
        <w:sz w:val="20"/>
        <w:szCs w:val="20"/>
        <w:lang w:val="en-GB"/>
      </w:rPr>
      <w:t xml:space="preserve"> 2026 - </w:t>
    </w:r>
    <w:r w:rsidR="00BF4357" w:rsidRPr="00BF4357">
      <w:rPr>
        <w:rFonts w:ascii="EB Garamond" w:eastAsia="EB Garamond" w:hAnsi="EB Garamond" w:cs="EB Garamond"/>
        <w:color w:val="8E1400"/>
        <w:sz w:val="20"/>
        <w:szCs w:val="20"/>
        <w:lang w:val="en-GB"/>
      </w:rPr>
      <w:t>Article</w:t>
    </w:r>
    <w:r w:rsidRPr="00BF4357">
      <w:rPr>
        <w:rFonts w:ascii="EB Garamond" w:eastAsia="EB Garamond" w:hAnsi="EB Garamond" w:cs="EB Garamond"/>
        <w:color w:val="8E1400"/>
        <w:sz w:val="20"/>
        <w:szCs w:val="20"/>
        <w:lang w:val="en-GB"/>
      </w:rPr>
      <w:t xml:space="preserve"> </w:t>
    </w:r>
    <w:r w:rsidR="00BF4357" w:rsidRPr="00BF4357">
      <w:rPr>
        <w:rFonts w:ascii="EB Garamond" w:eastAsia="EB Garamond" w:hAnsi="EB Garamond" w:cs="EB Garamond"/>
        <w:color w:val="8E1400"/>
        <w:sz w:val="20"/>
        <w:szCs w:val="20"/>
        <w:lang w:val="en-GB"/>
      </w:rPr>
      <w:t>No.</w:t>
    </w:r>
    <w:r w:rsidRPr="00BF4357">
      <w:rPr>
        <w:rFonts w:ascii="EB Garamond" w:eastAsia="EB Garamond" w:hAnsi="EB Garamond" w:cs="EB Garamond"/>
        <w:color w:val="8E1400"/>
        <w:sz w:val="20"/>
        <w:szCs w:val="20"/>
        <w:lang w:val="en-GB"/>
      </w:rPr>
      <w:t xml:space="preserve"> 6 (284) </w:t>
    </w:r>
    <w:r w:rsidR="00BF4357">
      <w:rPr>
        <w:rFonts w:ascii="EB Garamond" w:eastAsia="EB Garamond" w:hAnsi="EB Garamond" w:cs="EB Garamond"/>
        <w:color w:val="8E1400"/>
        <w:sz w:val="20"/>
        <w:szCs w:val="20"/>
        <w:lang w:val="en-GB"/>
      </w:rPr>
      <w:t>–</w:t>
    </w:r>
    <w:r w:rsidRPr="00BF4357">
      <w:rPr>
        <w:rFonts w:ascii="EB Garamond" w:eastAsia="EB Garamond" w:hAnsi="EB Garamond" w:cs="EB Garamond"/>
        <w:color w:val="8E1400"/>
        <w:sz w:val="20"/>
        <w:szCs w:val="20"/>
        <w:lang w:val="en-GB"/>
      </w:rPr>
      <w:t xml:space="preserve"> </w:t>
    </w:r>
    <w:r w:rsidR="00BF4357">
      <w:rPr>
        <w:rFonts w:ascii="EB Garamond" w:eastAsia="EB Garamond" w:hAnsi="EB Garamond" w:cs="EB Garamond"/>
        <w:color w:val="8E1400"/>
        <w:sz w:val="20"/>
        <w:szCs w:val="20"/>
        <w:lang w:val="en-GB"/>
      </w:rPr>
      <w:t xml:space="preserve">Pages </w:t>
    </w:r>
    <w:r w:rsidRPr="00BF4357">
      <w:rPr>
        <w:rFonts w:ascii="EB Garamond" w:eastAsia="EB Garamond" w:hAnsi="EB Garamond" w:cs="EB Garamond"/>
        <w:color w:val="8E1400"/>
        <w:sz w:val="20"/>
        <w:szCs w:val="20"/>
        <w:lang w:val="en-GB"/>
      </w:rPr>
      <w:t xml:space="preserve">123 </w:t>
    </w:r>
    <w:r w:rsidR="00BF4357">
      <w:rPr>
        <w:rFonts w:ascii="EB Garamond" w:eastAsia="EB Garamond" w:hAnsi="EB Garamond" w:cs="EB Garamond"/>
        <w:color w:val="8E1400"/>
        <w:sz w:val="20"/>
        <w:szCs w:val="20"/>
        <w:lang w:val="en-GB"/>
      </w:rPr>
      <w:t xml:space="preserve">to </w:t>
    </w:r>
    <w:r w:rsidRPr="00BF4357">
      <w:rPr>
        <w:rFonts w:ascii="EB Garamond" w:eastAsia="EB Garamond" w:hAnsi="EB Garamond" w:cs="EB Garamond"/>
        <w:color w:val="8E1400"/>
        <w:sz w:val="20"/>
        <w:szCs w:val="20"/>
        <w:lang w:val="en-GB"/>
      </w:rPr>
      <w:t>139 - mhjournal.org</w:t>
    </w:r>
  </w:p>
  <w:p w14:paraId="28BE9CDB" w14:textId="77777777" w:rsidR="00792349" w:rsidRPr="00BF4357" w:rsidRDefault="00792349">
    <w:pPr>
      <w:spacing w:line="14" w:lineRule="auto"/>
      <w:rPr>
        <w:color w:val="000000"/>
        <w:sz w:val="20"/>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7D2C2" w14:textId="77777777" w:rsidR="00792349" w:rsidRDefault="00000000">
    <w:pPr>
      <w:spacing w:before="20"/>
      <w:ind w:left="20" w:firstLine="20"/>
      <w:rPr>
        <w:color w:val="8E1400"/>
      </w:rPr>
    </w:pPr>
    <w:proofErr w:type="spellStart"/>
    <w:r>
      <w:rPr>
        <w:rFonts w:ascii="EB Garamond" w:eastAsia="EB Garamond" w:hAnsi="EB Garamond" w:cs="EB Garamond"/>
        <w:color w:val="8E1400"/>
        <w:sz w:val="20"/>
        <w:szCs w:val="20"/>
      </w:rPr>
      <w:t>MHJournal</w:t>
    </w:r>
    <w:proofErr w:type="spellEnd"/>
    <w:r>
      <w:rPr>
        <w:rFonts w:ascii="EB Garamond" w:eastAsia="EB Garamond" w:hAnsi="EB Garamond" w:cs="EB Garamond"/>
        <w:color w:val="8E1400"/>
        <w:sz w:val="20"/>
        <w:szCs w:val="20"/>
      </w:rPr>
      <w:t xml:space="preserve"> Vol. 17 (1) | Año 2026 - Artículo </w:t>
    </w:r>
    <w:proofErr w:type="spellStart"/>
    <w:r>
      <w:rPr>
        <w:rFonts w:ascii="EB Garamond" w:eastAsia="EB Garamond" w:hAnsi="EB Garamond" w:cs="EB Garamond"/>
        <w:color w:val="8E1400"/>
        <w:sz w:val="20"/>
        <w:szCs w:val="20"/>
      </w:rPr>
      <w:t>nº</w:t>
    </w:r>
    <w:proofErr w:type="spellEnd"/>
    <w:r>
      <w:rPr>
        <w:rFonts w:ascii="EB Garamond" w:eastAsia="EB Garamond" w:hAnsi="EB Garamond" w:cs="EB Garamond"/>
        <w:color w:val="8E1400"/>
        <w:sz w:val="20"/>
        <w:szCs w:val="20"/>
      </w:rPr>
      <w:t xml:space="preserve"> 6 (284) - Páginas 123 a 139 - mhjournal.org</w:t>
    </w:r>
  </w:p>
  <w:p w14:paraId="6B3D490C" w14:textId="77777777" w:rsidR="00792349" w:rsidRDefault="00792349">
    <w:pPr>
      <w:spacing w:line="14" w:lineRule="auto"/>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A9013" w14:textId="77777777" w:rsidR="00792349" w:rsidRDefault="00792349">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A34D0" w14:textId="77777777" w:rsidR="00BF4357" w:rsidRPr="00BF4357" w:rsidRDefault="00BF4357" w:rsidP="00BF4357">
    <w:pPr>
      <w:spacing w:before="20"/>
      <w:ind w:left="20" w:firstLine="20"/>
      <w:rPr>
        <w:color w:val="8E1400"/>
        <w:lang w:val="en-GB"/>
      </w:rPr>
    </w:pPr>
    <w:proofErr w:type="spellStart"/>
    <w:r w:rsidRPr="00BF4357">
      <w:rPr>
        <w:rFonts w:ascii="EB Garamond" w:eastAsia="EB Garamond" w:hAnsi="EB Garamond" w:cs="EB Garamond"/>
        <w:color w:val="8E1400"/>
        <w:sz w:val="20"/>
        <w:szCs w:val="20"/>
        <w:lang w:val="en-GB"/>
      </w:rPr>
      <w:t>MHJournal</w:t>
    </w:r>
    <w:proofErr w:type="spellEnd"/>
    <w:r w:rsidRPr="00BF4357">
      <w:rPr>
        <w:rFonts w:ascii="EB Garamond" w:eastAsia="EB Garamond" w:hAnsi="EB Garamond" w:cs="EB Garamond"/>
        <w:color w:val="8E1400"/>
        <w:sz w:val="20"/>
        <w:szCs w:val="20"/>
        <w:lang w:val="en-GB"/>
      </w:rPr>
      <w:t xml:space="preserve"> Vol. 17 (1) | Year 2026 - Article No. 6 (284) </w:t>
    </w:r>
    <w:r>
      <w:rPr>
        <w:rFonts w:ascii="EB Garamond" w:eastAsia="EB Garamond" w:hAnsi="EB Garamond" w:cs="EB Garamond"/>
        <w:color w:val="8E1400"/>
        <w:sz w:val="20"/>
        <w:szCs w:val="20"/>
        <w:lang w:val="en-GB"/>
      </w:rPr>
      <w:t>–</w:t>
    </w:r>
    <w:r w:rsidRPr="00BF4357">
      <w:rPr>
        <w:rFonts w:ascii="EB Garamond" w:eastAsia="EB Garamond" w:hAnsi="EB Garamond" w:cs="EB Garamond"/>
        <w:color w:val="8E1400"/>
        <w:sz w:val="20"/>
        <w:szCs w:val="20"/>
        <w:lang w:val="en-GB"/>
      </w:rPr>
      <w:t xml:space="preserve"> </w:t>
    </w:r>
    <w:r>
      <w:rPr>
        <w:rFonts w:ascii="EB Garamond" w:eastAsia="EB Garamond" w:hAnsi="EB Garamond" w:cs="EB Garamond"/>
        <w:color w:val="8E1400"/>
        <w:sz w:val="20"/>
        <w:szCs w:val="20"/>
        <w:lang w:val="en-GB"/>
      </w:rPr>
      <w:t xml:space="preserve">Pages </w:t>
    </w:r>
    <w:r w:rsidRPr="00BF4357">
      <w:rPr>
        <w:rFonts w:ascii="EB Garamond" w:eastAsia="EB Garamond" w:hAnsi="EB Garamond" w:cs="EB Garamond"/>
        <w:color w:val="8E1400"/>
        <w:sz w:val="20"/>
        <w:szCs w:val="20"/>
        <w:lang w:val="en-GB"/>
      </w:rPr>
      <w:t xml:space="preserve">123 </w:t>
    </w:r>
    <w:r>
      <w:rPr>
        <w:rFonts w:ascii="EB Garamond" w:eastAsia="EB Garamond" w:hAnsi="EB Garamond" w:cs="EB Garamond"/>
        <w:color w:val="8E1400"/>
        <w:sz w:val="20"/>
        <w:szCs w:val="20"/>
        <w:lang w:val="en-GB"/>
      </w:rPr>
      <w:t xml:space="preserve">to </w:t>
    </w:r>
    <w:r w:rsidRPr="00BF4357">
      <w:rPr>
        <w:rFonts w:ascii="EB Garamond" w:eastAsia="EB Garamond" w:hAnsi="EB Garamond" w:cs="EB Garamond"/>
        <w:color w:val="8E1400"/>
        <w:sz w:val="20"/>
        <w:szCs w:val="20"/>
        <w:lang w:val="en-GB"/>
      </w:rPr>
      <w:t>139 - mhjournal.org</w:t>
    </w:r>
  </w:p>
  <w:p w14:paraId="78877FD3" w14:textId="77777777" w:rsidR="00792349" w:rsidRPr="00BF4357" w:rsidRDefault="00792349">
    <w:pPr>
      <w:spacing w:line="14" w:lineRule="auto"/>
      <w:rPr>
        <w:color w:val="000000"/>
        <w:sz w:val="20"/>
        <w:szCs w:val="20"/>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B2BBE" w14:textId="77777777" w:rsidR="00792349" w:rsidRDefault="00000000">
    <w:pPr>
      <w:spacing w:before="20"/>
      <w:ind w:left="20" w:firstLine="20"/>
      <w:rPr>
        <w:color w:val="8E1400"/>
      </w:rPr>
    </w:pPr>
    <w:proofErr w:type="spellStart"/>
    <w:r>
      <w:rPr>
        <w:rFonts w:ascii="EB Garamond" w:eastAsia="EB Garamond" w:hAnsi="EB Garamond" w:cs="EB Garamond"/>
        <w:color w:val="8E1400"/>
        <w:sz w:val="20"/>
        <w:szCs w:val="20"/>
      </w:rPr>
      <w:t>MHJournal</w:t>
    </w:r>
    <w:proofErr w:type="spellEnd"/>
    <w:r>
      <w:rPr>
        <w:rFonts w:ascii="EB Garamond" w:eastAsia="EB Garamond" w:hAnsi="EB Garamond" w:cs="EB Garamond"/>
        <w:color w:val="8E1400"/>
        <w:sz w:val="20"/>
        <w:szCs w:val="20"/>
      </w:rPr>
      <w:t xml:space="preserve"> Vol. 17 (1) | Año 2026 - Artículo </w:t>
    </w:r>
    <w:proofErr w:type="spellStart"/>
    <w:r>
      <w:rPr>
        <w:rFonts w:ascii="EB Garamond" w:eastAsia="EB Garamond" w:hAnsi="EB Garamond" w:cs="EB Garamond"/>
        <w:color w:val="8E1400"/>
        <w:sz w:val="20"/>
        <w:szCs w:val="20"/>
      </w:rPr>
      <w:t>nº</w:t>
    </w:r>
    <w:proofErr w:type="spellEnd"/>
    <w:r>
      <w:rPr>
        <w:rFonts w:ascii="EB Garamond" w:eastAsia="EB Garamond" w:hAnsi="EB Garamond" w:cs="EB Garamond"/>
        <w:color w:val="8E1400"/>
        <w:sz w:val="20"/>
        <w:szCs w:val="20"/>
      </w:rPr>
      <w:t xml:space="preserve"> 6 (284) - Páginas 123 a 139 - mhjournal.org</w:t>
    </w:r>
  </w:p>
  <w:p w14:paraId="3019D218" w14:textId="77777777" w:rsidR="00792349" w:rsidRDefault="00792349">
    <w:pP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40DAB"/>
    <w:multiLevelType w:val="multilevel"/>
    <w:tmpl w:val="179C45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F582483"/>
    <w:multiLevelType w:val="multilevel"/>
    <w:tmpl w:val="3B544FC8"/>
    <w:lvl w:ilvl="0">
      <w:start w:val="1"/>
      <w:numFmt w:val="decimal"/>
      <w:lvlText w:val="%1."/>
      <w:lvlJc w:val="left"/>
      <w:pPr>
        <w:tabs>
          <w:tab w:val="num" w:pos="0"/>
        </w:tabs>
        <w:ind w:left="810" w:hanging="150"/>
      </w:pPr>
      <w:rPr>
        <w:rFonts w:ascii="EB Garamond" w:eastAsia="EB Garamond" w:hAnsi="EB Garamond" w:cs="EB Garamond"/>
        <w:b w:val="0"/>
        <w:bCs w:val="0"/>
        <w:i w:val="0"/>
        <w:iCs w:val="0"/>
        <w:color w:val="808080"/>
        <w:sz w:val="16"/>
        <w:szCs w:val="16"/>
      </w:rPr>
    </w:lvl>
    <w:lvl w:ilvl="1">
      <w:start w:val="1"/>
      <w:numFmt w:val="decimal"/>
      <w:lvlText w:val="%1.%2."/>
      <w:lvlJc w:val="left"/>
      <w:pPr>
        <w:tabs>
          <w:tab w:val="num" w:pos="0"/>
        </w:tabs>
        <w:ind w:left="660" w:hanging="263"/>
      </w:pPr>
      <w:rPr>
        <w:rFonts w:ascii="EB Garamond" w:eastAsia="EB Garamond" w:hAnsi="EB Garamond" w:cs="EB Garamond"/>
        <w:b w:val="0"/>
        <w:bCs w:val="0"/>
        <w:i w:val="0"/>
        <w:iCs w:val="0"/>
        <w:color w:val="808080"/>
        <w:sz w:val="16"/>
        <w:szCs w:val="16"/>
      </w:rPr>
    </w:lvl>
    <w:lvl w:ilvl="2">
      <w:numFmt w:val="bullet"/>
      <w:lvlText w:val=""/>
      <w:lvlJc w:val="left"/>
      <w:pPr>
        <w:tabs>
          <w:tab w:val="num" w:pos="0"/>
        </w:tabs>
        <w:ind w:left="1136" w:hanging="263"/>
      </w:pPr>
      <w:rPr>
        <w:rFonts w:ascii="Symbol" w:hAnsi="Symbol" w:cs="Symbol" w:hint="default"/>
      </w:rPr>
    </w:lvl>
    <w:lvl w:ilvl="3">
      <w:numFmt w:val="bullet"/>
      <w:lvlText w:val=""/>
      <w:lvlJc w:val="left"/>
      <w:pPr>
        <w:tabs>
          <w:tab w:val="num" w:pos="0"/>
        </w:tabs>
        <w:ind w:left="1453" w:hanging="262"/>
      </w:pPr>
      <w:rPr>
        <w:rFonts w:ascii="Symbol" w:hAnsi="Symbol" w:cs="Symbol" w:hint="default"/>
      </w:rPr>
    </w:lvl>
    <w:lvl w:ilvl="4">
      <w:numFmt w:val="bullet"/>
      <w:lvlText w:val=""/>
      <w:lvlJc w:val="left"/>
      <w:pPr>
        <w:tabs>
          <w:tab w:val="num" w:pos="0"/>
        </w:tabs>
        <w:ind w:left="1769" w:hanging="263"/>
      </w:pPr>
      <w:rPr>
        <w:rFonts w:ascii="Symbol" w:hAnsi="Symbol" w:cs="Symbol" w:hint="default"/>
      </w:rPr>
    </w:lvl>
    <w:lvl w:ilvl="5">
      <w:numFmt w:val="bullet"/>
      <w:lvlText w:val=""/>
      <w:lvlJc w:val="left"/>
      <w:pPr>
        <w:tabs>
          <w:tab w:val="num" w:pos="0"/>
        </w:tabs>
        <w:ind w:left="2086" w:hanging="263"/>
      </w:pPr>
      <w:rPr>
        <w:rFonts w:ascii="Symbol" w:hAnsi="Symbol" w:cs="Symbol" w:hint="default"/>
      </w:rPr>
    </w:lvl>
    <w:lvl w:ilvl="6">
      <w:numFmt w:val="bullet"/>
      <w:lvlText w:val=""/>
      <w:lvlJc w:val="left"/>
      <w:pPr>
        <w:tabs>
          <w:tab w:val="num" w:pos="0"/>
        </w:tabs>
        <w:ind w:left="2402" w:hanging="263"/>
      </w:pPr>
      <w:rPr>
        <w:rFonts w:ascii="Symbol" w:hAnsi="Symbol" w:cs="Symbol" w:hint="default"/>
      </w:rPr>
    </w:lvl>
    <w:lvl w:ilvl="7">
      <w:numFmt w:val="bullet"/>
      <w:lvlText w:val=""/>
      <w:lvlJc w:val="left"/>
      <w:pPr>
        <w:tabs>
          <w:tab w:val="num" w:pos="0"/>
        </w:tabs>
        <w:ind w:left="2719" w:hanging="263"/>
      </w:pPr>
      <w:rPr>
        <w:rFonts w:ascii="Symbol" w:hAnsi="Symbol" w:cs="Symbol" w:hint="default"/>
      </w:rPr>
    </w:lvl>
    <w:lvl w:ilvl="8">
      <w:numFmt w:val="bullet"/>
      <w:lvlText w:val=""/>
      <w:lvlJc w:val="left"/>
      <w:pPr>
        <w:tabs>
          <w:tab w:val="num" w:pos="0"/>
        </w:tabs>
        <w:ind w:left="3035" w:hanging="263"/>
      </w:pPr>
      <w:rPr>
        <w:rFonts w:ascii="Symbol" w:hAnsi="Symbol" w:cs="Symbol" w:hint="default"/>
      </w:rPr>
    </w:lvl>
  </w:abstractNum>
  <w:num w:numId="1" w16cid:durableId="1969971378">
    <w:abstractNumId w:val="1"/>
  </w:num>
  <w:num w:numId="2" w16cid:durableId="1161197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349"/>
    <w:rsid w:val="00061953"/>
    <w:rsid w:val="00163CD5"/>
    <w:rsid w:val="005E010C"/>
    <w:rsid w:val="00792349"/>
    <w:rsid w:val="00A45FF4"/>
    <w:rsid w:val="00BF4357"/>
    <w:rsid w:val="00F95D06"/>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C331E"/>
  <w15:docId w15:val="{C4447776-3F45-4CB7-8229-DD6DC9F6A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Garamond" w:hAnsi="Garamond" w:cs="Garamond"/>
        <w:sz w:val="22"/>
        <w:szCs w:val="22"/>
        <w:lang w:val="es-ES_tradnl" w:eastAsia="fr-F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357"/>
    <w:pPr>
      <w:widowControl w:val="0"/>
    </w:pPr>
  </w:style>
  <w:style w:type="paragraph" w:styleId="Ttulo1">
    <w:name w:val="heading 1"/>
    <w:basedOn w:val="Normal"/>
    <w:next w:val="Normal"/>
    <w:uiPriority w:val="9"/>
    <w:qFormat/>
    <w:pPr>
      <w:ind w:left="904"/>
      <w:outlineLvl w:val="0"/>
    </w:pPr>
    <w:rPr>
      <w:rFonts w:ascii="Arial" w:eastAsia="Arial" w:hAnsi="Arial" w:cs="Arial"/>
      <w:sz w:val="24"/>
      <w:szCs w:val="24"/>
    </w:rPr>
  </w:style>
  <w:style w:type="paragraph" w:styleId="Ttulo2">
    <w:name w:val="heading 2"/>
    <w:basedOn w:val="Normal"/>
    <w:next w:val="Normal"/>
    <w:uiPriority w:val="9"/>
    <w:unhideWhenUsed/>
    <w:qFormat/>
    <w:pPr>
      <w:keepNext/>
      <w:keepLines/>
      <w:spacing w:after="80"/>
      <w:ind w:left="426" w:right="370"/>
      <w:jc w:val="both"/>
      <w:outlineLvl w:val="1"/>
    </w:pPr>
    <w:rPr>
      <w:b/>
      <w:bCs/>
      <w:color w:val="9A0203"/>
      <w:sz w:val="24"/>
      <w:szCs w:val="24"/>
    </w:rPr>
  </w:style>
  <w:style w:type="paragraph" w:styleId="Ttulo3">
    <w:name w:val="heading 3"/>
    <w:basedOn w:val="Normal"/>
    <w:next w:val="Normal"/>
    <w:uiPriority w:val="9"/>
    <w:semiHidden/>
    <w:unhideWhenUsed/>
    <w:qFormat/>
    <w:pPr>
      <w:keepNext/>
      <w:keepLines/>
      <w:spacing w:before="280" w:after="80"/>
      <w:outlineLvl w:val="2"/>
    </w:pPr>
    <w:rPr>
      <w:b/>
      <w:bCs/>
      <w:color w:val="000000"/>
      <w:sz w:val="28"/>
      <w:szCs w:val="28"/>
    </w:rPr>
  </w:style>
  <w:style w:type="paragraph" w:styleId="Ttulo4">
    <w:name w:val="heading 4"/>
    <w:basedOn w:val="Normal"/>
    <w:next w:val="Normal"/>
    <w:uiPriority w:val="9"/>
    <w:semiHidden/>
    <w:unhideWhenUsed/>
    <w:qFormat/>
    <w:pPr>
      <w:keepNext/>
      <w:keepLines/>
      <w:spacing w:before="240" w:after="40"/>
      <w:outlineLvl w:val="3"/>
    </w:pPr>
    <w:rPr>
      <w:b/>
      <w:bCs/>
      <w:color w:val="000000"/>
      <w:sz w:val="24"/>
      <w:szCs w:val="24"/>
    </w:rPr>
  </w:style>
  <w:style w:type="paragraph" w:styleId="Ttulo5">
    <w:name w:val="heading 5"/>
    <w:basedOn w:val="Normal"/>
    <w:next w:val="Normal"/>
    <w:uiPriority w:val="9"/>
    <w:semiHidden/>
    <w:unhideWhenUsed/>
    <w:qFormat/>
    <w:pPr>
      <w:keepNext/>
      <w:keepLines/>
      <w:spacing w:before="220" w:after="40"/>
      <w:outlineLvl w:val="4"/>
    </w:pPr>
    <w:rPr>
      <w:b/>
      <w:bCs/>
      <w:color w:val="000000"/>
    </w:rPr>
  </w:style>
  <w:style w:type="paragraph" w:styleId="Ttulo6">
    <w:name w:val="heading 6"/>
    <w:basedOn w:val="Normal"/>
    <w:next w:val="Normal"/>
    <w:uiPriority w:val="9"/>
    <w:semiHidden/>
    <w:unhideWhenUsed/>
    <w:qFormat/>
    <w:pPr>
      <w:keepNext/>
      <w:keepLines/>
      <w:spacing w:before="200" w:after="40"/>
      <w:outlineLvl w:val="5"/>
    </w:pPr>
    <w:rPr>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E0533D"/>
    <w:rPr>
      <w:rFonts w:ascii="Garamond" w:eastAsia="Garamond" w:hAnsi="Garamond" w:cs="Garamond"/>
      <w:lang w:val="es-ES"/>
    </w:rPr>
  </w:style>
  <w:style w:type="character" w:customStyle="1" w:styleId="PiedepginaCar">
    <w:name w:val="Pie de página Car"/>
    <w:basedOn w:val="Fuentedeprrafopredeter"/>
    <w:link w:val="Piedepgina"/>
    <w:uiPriority w:val="99"/>
    <w:qFormat/>
    <w:rsid w:val="00E0533D"/>
    <w:rPr>
      <w:rFonts w:ascii="Garamond" w:eastAsia="Garamond" w:hAnsi="Garamond" w:cs="Garamond"/>
      <w:lang w:val="es-ES"/>
    </w:rPr>
  </w:style>
  <w:style w:type="character" w:styleId="Hipervnculo">
    <w:name w:val="Hyperlink"/>
    <w:basedOn w:val="Fuentedeprrafopredeter"/>
    <w:uiPriority w:val="99"/>
    <w:unhideWhenUsed/>
    <w:rsid w:val="0005535A"/>
    <w:rPr>
      <w:color w:val="0000FF" w:themeColor="hyperlink"/>
      <w:u w:val="single"/>
    </w:rPr>
  </w:style>
  <w:style w:type="character" w:styleId="Refdecomentario">
    <w:name w:val="annotation reference"/>
    <w:basedOn w:val="Fuentedeprrafopredeter"/>
    <w:uiPriority w:val="99"/>
    <w:semiHidden/>
    <w:unhideWhenUsed/>
    <w:qFormat/>
    <w:rsid w:val="00A26873"/>
    <w:rPr>
      <w:sz w:val="16"/>
      <w:szCs w:val="16"/>
    </w:rPr>
  </w:style>
  <w:style w:type="character" w:customStyle="1" w:styleId="TextocomentarioCar">
    <w:name w:val="Texto comentario Car"/>
    <w:basedOn w:val="Fuentedeprrafopredeter"/>
    <w:link w:val="Textocomentario"/>
    <w:uiPriority w:val="99"/>
    <w:semiHidden/>
    <w:qFormat/>
    <w:rsid w:val="00A26873"/>
    <w:rPr>
      <w:rFonts w:ascii="Garamond" w:eastAsia="Garamond" w:hAnsi="Garamond" w:cs="Garamond"/>
      <w:sz w:val="20"/>
      <w:szCs w:val="20"/>
      <w:lang w:val="es-ES"/>
    </w:rPr>
  </w:style>
  <w:style w:type="character" w:customStyle="1" w:styleId="AsuntodelcomentarioCar">
    <w:name w:val="Asunto del comentario Car"/>
    <w:basedOn w:val="TextocomentarioCar"/>
    <w:link w:val="Asuntodelcomentario"/>
    <w:uiPriority w:val="99"/>
    <w:semiHidden/>
    <w:qFormat/>
    <w:rsid w:val="00A26873"/>
    <w:rPr>
      <w:rFonts w:ascii="Garamond" w:eastAsia="Garamond" w:hAnsi="Garamond" w:cs="Garamond"/>
      <w:b/>
      <w:bCs/>
      <w:sz w:val="20"/>
      <w:szCs w:val="20"/>
      <w:lang w:val="es-ES"/>
    </w:rPr>
  </w:style>
  <w:style w:type="character" w:customStyle="1" w:styleId="TextodegloboCar">
    <w:name w:val="Texto de globo Car"/>
    <w:basedOn w:val="Fuentedeprrafopredeter"/>
    <w:link w:val="Textodeglobo"/>
    <w:uiPriority w:val="99"/>
    <w:semiHidden/>
    <w:qFormat/>
    <w:rsid w:val="00A26873"/>
    <w:rPr>
      <w:rFonts w:ascii="Segoe UI" w:eastAsia="Garamond" w:hAnsi="Segoe UI" w:cs="Segoe UI"/>
      <w:sz w:val="18"/>
      <w:szCs w:val="18"/>
      <w:lang w:val="es-ES"/>
    </w:rPr>
  </w:style>
  <w:style w:type="character" w:customStyle="1" w:styleId="TextonotapieCar">
    <w:name w:val="Texto nota pie Car"/>
    <w:basedOn w:val="Fuentedeprrafopredeter"/>
    <w:link w:val="Textonotapie"/>
    <w:uiPriority w:val="99"/>
    <w:qFormat/>
    <w:rsid w:val="00853BB9"/>
    <w:rPr>
      <w:rFonts w:ascii="Garamond" w:eastAsia="Garamond" w:hAnsi="Garamond" w:cs="Garamond"/>
      <w:sz w:val="20"/>
      <w:szCs w:val="20"/>
      <w:lang w:val="es-ES"/>
    </w:rPr>
  </w:style>
  <w:style w:type="character" w:customStyle="1" w:styleId="Caracteresdenotaalpie">
    <w:name w:val="Caracteres de nota al pie"/>
    <w:basedOn w:val="Fuentedeprrafopredeter"/>
    <w:uiPriority w:val="99"/>
    <w:unhideWhenUsed/>
    <w:qFormat/>
    <w:rsid w:val="00853BB9"/>
    <w:rPr>
      <w:vertAlign w:val="superscript"/>
    </w:rPr>
  </w:style>
  <w:style w:type="character" w:styleId="Refdenotaalpie">
    <w:name w:val="footnote reference"/>
    <w:rPr>
      <w:vertAlign w:val="superscript"/>
    </w:rPr>
  </w:style>
  <w:style w:type="character" w:customStyle="1" w:styleId="authorname">
    <w:name w:val="authorname"/>
    <w:basedOn w:val="Fuentedeprrafopredeter"/>
    <w:qFormat/>
    <w:rsid w:val="00B80317"/>
  </w:style>
  <w:style w:type="character" w:customStyle="1" w:styleId="separator">
    <w:name w:val="separator"/>
    <w:basedOn w:val="Fuentedeprrafopredeter"/>
    <w:qFormat/>
    <w:rsid w:val="00B80317"/>
  </w:style>
  <w:style w:type="character" w:customStyle="1" w:styleId="Date1">
    <w:name w:val="Date1"/>
    <w:basedOn w:val="Fuentedeprrafopredeter"/>
    <w:qFormat/>
    <w:rsid w:val="00B80317"/>
  </w:style>
  <w:style w:type="character" w:customStyle="1" w:styleId="arttitle">
    <w:name w:val="art_title"/>
    <w:basedOn w:val="Fuentedeprrafopredeter"/>
    <w:qFormat/>
    <w:rsid w:val="00B80317"/>
  </w:style>
  <w:style w:type="character" w:customStyle="1" w:styleId="serialtitle">
    <w:name w:val="serial_title"/>
    <w:basedOn w:val="Fuentedeprrafopredeter"/>
    <w:qFormat/>
    <w:rsid w:val="00B80317"/>
  </w:style>
  <w:style w:type="character" w:customStyle="1" w:styleId="volumeissue">
    <w:name w:val="volume_issue"/>
    <w:basedOn w:val="Fuentedeprrafopredeter"/>
    <w:qFormat/>
    <w:rsid w:val="00B80317"/>
  </w:style>
  <w:style w:type="character" w:customStyle="1" w:styleId="pagerange">
    <w:name w:val="page_range"/>
    <w:basedOn w:val="Fuentedeprrafopredeter"/>
    <w:qFormat/>
    <w:rsid w:val="00B80317"/>
  </w:style>
  <w:style w:type="character" w:customStyle="1" w:styleId="doilink">
    <w:name w:val="doi_link"/>
    <w:basedOn w:val="Fuentedeprrafopredeter"/>
    <w:qFormat/>
    <w:rsid w:val="00B80317"/>
  </w:style>
  <w:style w:type="character" w:styleId="Mencinsinresolver">
    <w:name w:val="Unresolved Mention"/>
    <w:basedOn w:val="Fuentedeprrafopredeter"/>
    <w:uiPriority w:val="99"/>
    <w:semiHidden/>
    <w:unhideWhenUsed/>
    <w:qFormat/>
    <w:rsid w:val="00A60BC9"/>
    <w:rPr>
      <w:color w:val="605E5C"/>
      <w:shd w:val="clear" w:color="auto" w:fill="E1DFDD"/>
    </w:rPr>
  </w:style>
  <w:style w:type="character" w:styleId="Hipervnculovisitado">
    <w:name w:val="FollowedHyperlink"/>
    <w:rPr>
      <w:color w:val="800000"/>
      <w:u w:val="single"/>
    </w:rPr>
  </w:style>
  <w:style w:type="character" w:styleId="Refdenotaalfinal">
    <w:name w:val="endnote reference"/>
    <w:rPr>
      <w:vertAlign w:val="superscript"/>
    </w:rPr>
  </w:style>
  <w:style w:type="character" w:customStyle="1" w:styleId="Caracteresdenotafinal">
    <w:name w:val="Caracteres de nota final"/>
    <w:qFormat/>
  </w:style>
  <w:style w:type="paragraph" w:styleId="Ttulo">
    <w:name w:val="Title"/>
    <w:basedOn w:val="Normal"/>
    <w:next w:val="Textoindependiente"/>
    <w:uiPriority w:val="10"/>
    <w:qFormat/>
    <w:pPr>
      <w:spacing w:before="117"/>
      <w:ind w:left="638" w:right="736"/>
    </w:pPr>
    <w:rPr>
      <w:sz w:val="32"/>
      <w:szCs w:val="32"/>
    </w:rPr>
  </w:style>
  <w:style w:type="paragraph" w:styleId="Textoindependiente">
    <w:name w:val="Body Text"/>
    <w:basedOn w:val="Normal"/>
    <w:uiPriority w:val="1"/>
    <w:qFormat/>
    <w:rPr>
      <w:sz w:val="18"/>
      <w:szCs w:val="18"/>
    </w:r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Normal1">
    <w:name w:val="Normal1"/>
    <w:qFormat/>
    <w:pPr>
      <w:widowControl w:val="0"/>
    </w:pPr>
  </w:style>
  <w:style w:type="paragraph" w:styleId="Prrafodelista">
    <w:name w:val="List Paragraph"/>
    <w:basedOn w:val="Normal"/>
    <w:uiPriority w:val="1"/>
    <w:qFormat/>
    <w:pPr>
      <w:ind w:left="638"/>
    </w:pPr>
    <w:rPr>
      <w:rFonts w:ascii="Minion Pro" w:eastAsia="Minion Pro" w:hAnsi="Minion Pro" w:cs="Minion Pro"/>
    </w:rPr>
  </w:style>
  <w:style w:type="paragraph" w:customStyle="1" w:styleId="TableParagraph">
    <w:name w:val="Table Paragraph"/>
    <w:basedOn w:val="Normal"/>
    <w:uiPriority w:val="1"/>
    <w:qFormat/>
  </w:style>
  <w:style w:type="paragraph" w:customStyle="1" w:styleId="Cabeceraypie">
    <w:name w:val="Cabecera y pie"/>
    <w:basedOn w:val="Normal"/>
    <w:qFormat/>
  </w:style>
  <w:style w:type="paragraph" w:styleId="Encabezado">
    <w:name w:val="header"/>
    <w:basedOn w:val="Normal"/>
    <w:link w:val="EncabezadoCar"/>
    <w:uiPriority w:val="99"/>
    <w:unhideWhenUsed/>
    <w:rsid w:val="00E0533D"/>
    <w:pPr>
      <w:tabs>
        <w:tab w:val="center" w:pos="4252"/>
        <w:tab w:val="right" w:pos="8504"/>
      </w:tabs>
    </w:pPr>
  </w:style>
  <w:style w:type="paragraph" w:styleId="Piedepgina">
    <w:name w:val="footer"/>
    <w:basedOn w:val="Normal"/>
    <w:link w:val="PiedepginaCar"/>
    <w:uiPriority w:val="99"/>
    <w:unhideWhenUsed/>
    <w:rsid w:val="00E0533D"/>
    <w:pPr>
      <w:tabs>
        <w:tab w:val="center" w:pos="4252"/>
        <w:tab w:val="right" w:pos="8504"/>
      </w:tabs>
    </w:pPr>
  </w:style>
  <w:style w:type="paragraph" w:styleId="Textocomentario">
    <w:name w:val="annotation text"/>
    <w:basedOn w:val="Normal"/>
    <w:link w:val="TextocomentarioCar"/>
    <w:uiPriority w:val="99"/>
    <w:semiHidden/>
    <w:unhideWhenUsed/>
    <w:rsid w:val="00A26873"/>
    <w:rPr>
      <w:sz w:val="20"/>
      <w:szCs w:val="20"/>
    </w:rPr>
  </w:style>
  <w:style w:type="paragraph" w:styleId="Asuntodelcomentario">
    <w:name w:val="annotation subject"/>
    <w:basedOn w:val="Textocomentario"/>
    <w:next w:val="Textocomentario"/>
    <w:link w:val="AsuntodelcomentarioCar"/>
    <w:uiPriority w:val="99"/>
    <w:semiHidden/>
    <w:unhideWhenUsed/>
    <w:qFormat/>
    <w:rsid w:val="00A26873"/>
    <w:rPr>
      <w:b/>
      <w:bCs/>
    </w:rPr>
  </w:style>
  <w:style w:type="paragraph" w:styleId="Textodeglobo">
    <w:name w:val="Balloon Text"/>
    <w:basedOn w:val="Normal"/>
    <w:link w:val="TextodegloboCar"/>
    <w:uiPriority w:val="99"/>
    <w:semiHidden/>
    <w:unhideWhenUsed/>
    <w:qFormat/>
    <w:rsid w:val="00A26873"/>
    <w:rPr>
      <w:rFonts w:ascii="Segoe UI" w:hAnsi="Segoe UI" w:cs="Segoe UI"/>
      <w:sz w:val="18"/>
      <w:szCs w:val="18"/>
    </w:rPr>
  </w:style>
  <w:style w:type="paragraph" w:styleId="Textonotapie">
    <w:name w:val="footnote text"/>
    <w:basedOn w:val="Normal"/>
    <w:link w:val="TextonotapieCar"/>
    <w:uiPriority w:val="99"/>
    <w:unhideWhenUsed/>
    <w:rsid w:val="00853BB9"/>
    <w:rPr>
      <w:sz w:val="20"/>
      <w:szCs w:val="20"/>
    </w:rPr>
  </w:style>
  <w:style w:type="paragraph" w:customStyle="1" w:styleId="Contenidodelmarcouser">
    <w:name w:val="Contenido del marco (user)"/>
    <w:basedOn w:val="Normal"/>
    <w:qFormat/>
    <w:rsid w:val="00BE30CC"/>
    <w:pPr>
      <w:widowControl/>
    </w:pPr>
    <w:rPr>
      <w:rFonts w:ascii="Times New Roman" w:eastAsia="Times New Roman" w:hAnsi="Times New Roman" w:cs="Times New Roman"/>
      <w:sz w:val="24"/>
      <w:szCs w:val="24"/>
      <w:lang w:eastAsia="es-ES_tradnl"/>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customStyle="1" w:styleId="Contenidodelmarco">
    <w:name w:val="Contenido del marco"/>
    <w:basedOn w:val="Normal"/>
    <w:qFormat/>
  </w:style>
  <w:style w:type="numbering" w:customStyle="1" w:styleId="Ningunalista">
    <w:name w:val="Ninguna lista"/>
    <w:uiPriority w:val="99"/>
    <w:semiHidden/>
    <w:unhideWhenUsed/>
    <w:qFormat/>
  </w:style>
  <w:style w:type="table" w:customStyle="1" w:styleId="TableNormal">
    <w:name w:val="TableNormal"/>
    <w:tblPr>
      <w:tblCellMar>
        <w:top w:w="100" w:type="dxa"/>
        <w:left w:w="100" w:type="dxa"/>
        <w:bottom w:w="100" w:type="dxa"/>
        <w:right w:w="10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uiPriority w:val="2"/>
    <w:semiHidden/>
    <w:unhideWhenUsed/>
    <w:qFormat/>
    <w:tblPr>
      <w:tblCellMar>
        <w:top w:w="0" w:type="dxa"/>
        <w:left w:w="0" w:type="dxa"/>
        <w:bottom w:w="0" w:type="dxa"/>
        <w:right w:w="0" w:type="dxa"/>
      </w:tblCellMar>
    </w:tblPr>
  </w:style>
  <w:style w:type="table" w:styleId="Tablaconcuadrcula">
    <w:name w:val="Table Grid"/>
    <w:basedOn w:val="Tablanormal"/>
    <w:uiPriority w:val="39"/>
    <w:rsid w:val="00865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elmundo.es/madrid/2019/05/30/5cee6365fc6c83ae2a8b45a6.html" TargetMode="External"/><Relationship Id="rId26" Type="http://schemas.openxmlformats.org/officeDocument/2006/relationships/hyperlink" Target="https://www.tulankide.com/es/complices-sella-una-novena-edicion-de-cine" TargetMode="External"/><Relationship Id="rId39" Type="http://schemas.openxmlformats.org/officeDocument/2006/relationships/header" Target="header5.xml"/><Relationship Id="rId21" Type="http://schemas.openxmlformats.org/officeDocument/2006/relationships/hyperlink" Target="https://www.espinof.com/netflix/intimidad-devastador-caso-real-que-inspiro-serie-netflix" TargetMode="External"/><Relationship Id="rId34" Type="http://schemas.openxmlformats.org/officeDocument/2006/relationships/image" Target="media/image2.jpe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tramayfondo.com/revista/libros/53/6_Jesus-Gonzalez-Requena.pdf" TargetMode="External"/><Relationship Id="rId20" Type="http://schemas.openxmlformats.org/officeDocument/2006/relationships/hyperlink" Target="https://www.noticiasdenavarra.com/television/2021/12/07/asier-altuna-comedias-gustan-son-2105599.html" TargetMode="External"/><Relationship Id="rId29" Type="http://schemas.openxmlformats.org/officeDocument/2006/relationships/hyperlink" Target="https://www.espinof.com/criticas/soy-nevenka-muestra-solvencia-primer-me-too-historia-espana-su-mayor-acierto-hacer-que-resuene-nuestro-presente-festival-san-sebastian-2024"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www.audiovisual451.com/koldo-zuazua-queriamos-que-nevenka-estuviera-segura-y-convencida-de-la-propuesta/" TargetMode="External"/><Relationship Id="rId32" Type="http://schemas.openxmlformats.org/officeDocument/2006/relationships/hyperlink" Target="https://cadenaser.com/castillayleon/2025/01/27/soy-nevenka-se-retira-de-la-gran-pantalla-tras-sumar-265000-espectadores-radio-bierzo/" TargetMode="External"/><Relationship Id="rId37" Type="http://schemas.openxmlformats.org/officeDocument/2006/relationships/footer" Target="footer3.xml"/><Relationship Id="rId40"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yperlink" Target="http://www.smid.dk/" TargetMode="External"/><Relationship Id="rId23" Type="http://schemas.openxmlformats.org/officeDocument/2006/relationships/hyperlink" Target="https://www.lavanguardia.com/series/netflix/20191207/472081836691/veronica-fernandez-netflix-directora-de-contenidos-hache.html" TargetMode="External"/><Relationship Id="rId28" Type="http://schemas.openxmlformats.org/officeDocument/2006/relationships/hyperlink" Target="https://elcontraplano.com/2024/09/20/soy-nevenka-mucha-historia-poco-cine/" TargetMode="External"/><Relationship Id="rId36" Type="http://schemas.openxmlformats.org/officeDocument/2006/relationships/header" Target="header4.xml"/><Relationship Id="rId10" Type="http://schemas.openxmlformats.org/officeDocument/2006/relationships/hyperlink" Target="https://orcid.org/0000-0002-4528-5164" TargetMode="External"/><Relationship Id="rId19" Type="http://schemas.openxmlformats.org/officeDocument/2006/relationships/hyperlink" Target="https://variety.com/2022/film/festivals/intimacy-balenciaga-irusoin-txintxua-basque-country-1235377756/" TargetMode="External"/><Relationship Id="rId31" Type="http://schemas.openxmlformats.org/officeDocument/2006/relationships/hyperlink" Target="https://www.elbierzonoticias.com/ponferrada/estreno-nevenka-reune-700-espectadores-cines-ponferrada-20241001082143-nt.html"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yperlink" Target="https://www.lavanguardia.com/series/20220609/8325803/intimidad-netflix-itziar-ituno-video-sexual-sororidad.html" TargetMode="External"/><Relationship Id="rId27" Type="http://schemas.openxmlformats.org/officeDocument/2006/relationships/hyperlink" Target="https://elbierzo.eldiario.es/ponferrada/discreto-estreno-ponferrada-pelicula-nevenka-acoso-sexual-exalcalde_1_11694569.html" TargetMode="External"/><Relationship Id="rId30" Type="http://schemas.openxmlformats.org/officeDocument/2006/relationships/hyperlink" Target="https://comunicacion.movistarplus.es/nota-de-prensa/las-33-peliculas-nominadas-a-los-premios-goya-2025-que-podras-ver-en-movistar-plus/" TargetMode="External"/><Relationship Id="rId35" Type="http://schemas.openxmlformats.org/officeDocument/2006/relationships/header" Target="header3.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yperlink" Target="http://tramayfondo.com/revista/libros/197/T&amp;F57_01.pdf" TargetMode="External"/><Relationship Id="rId25" Type="http://schemas.openxmlformats.org/officeDocument/2006/relationships/hyperlink" Target="http://doi.org/10.61146/retor.v14.n2.225" TargetMode="External"/><Relationship Id="rId33" Type="http://schemas.openxmlformats.org/officeDocument/2006/relationships/hyperlink" Target="https://www.elantepenultimomohicano.com/2024/09/critica-soy-nevenka.html" TargetMode="External"/><Relationship Id="rId38"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www.txintxua.com/en/films/intimacy" TargetMode="External"/><Relationship Id="rId2" Type="http://schemas.openxmlformats.org/officeDocument/2006/relationships/hyperlink" Target="https://www.triodos.com/en/projects/txintxua-films" TargetMode="External"/><Relationship Id="rId1" Type="http://schemas.openxmlformats.org/officeDocument/2006/relationships/hyperlink" Target="http://www.txintxua.com/es/peliculas" TargetMode="External"/><Relationship Id="rId5" Type="http://schemas.openxmlformats.org/officeDocument/2006/relationships/hyperlink" Target="https://about.netflix.com/es/news/what-we-watched-the-first-half-of-2025" TargetMode="External"/><Relationship Id="rId4" Type="http://schemas.openxmlformats.org/officeDocument/2006/relationships/hyperlink" Target="https://about.netflix.com/es/news/what-we-watched-the-first-half-of-2025"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roundtripDataSignature="AMtx7mjr3GODaob+uwkgj9VMhlHSbSElLg==">CgMxLjAaDQoBMBIICgYIBTICCAEaDQoBMRIICgYIBTICCAEaDQoBMhIICgYIBTICCAEaDQoBMxIICgYIBTICCAEaDQoBNBIICgYIBTICCAEyDmgubjgwdjd1MXdtZGU2Mg5oLnpiYjZiNDcybGsxdjIOaC50Y2NyNmU1NHdnbjMyDmguanpyOXJ0d2w5ZTR2Mg5oLjJrZzV5MmgwNzY0ZDIOaC5jeXJ1bDRzdDJvOXUyDmgueWwwanF2cTVsa3A2OAByITFOdHdNNlVIYS13UzBHNEprRWhiMUs0aWl3VzlUMVAtYw==</go:docsCustomData>
</go:gDocsCustomXmlDataStorage>
</file>

<file path=customXml/itemProps1.xml><?xml version="1.0" encoding="utf-8"?>
<ds:datastoreItem xmlns:ds="http://schemas.openxmlformats.org/officeDocument/2006/customXml" ds:itemID="{39E6CD97-7C65-48FD-8C59-9B794024628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18</Pages>
  <Words>6962</Words>
  <Characters>38292</Characters>
  <Application>Microsoft Office Word</Application>
  <DocSecurity>0</DocSecurity>
  <Lines>319</Lines>
  <Paragraphs>90</Paragraphs>
  <ScaleCrop>false</ScaleCrop>
  <Company/>
  <LinksUpToDate>false</LinksUpToDate>
  <CharactersWithSpaces>45164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dc:description/>
  <cp:lastModifiedBy>Sabater Quinto, Federico</cp:lastModifiedBy>
  <cp:revision>1</cp:revision>
  <dcterms:created xsi:type="dcterms:W3CDTF">2026-03-13T11:39:00Z</dcterms:created>
  <dcterms:modified xsi:type="dcterms:W3CDTF">2026-03-31T07:27:00Z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2023-01-30T23:00:00Z</vt:filetime>
  </property>
  <property fmtid="{D5CDD505-2E9C-101B-9397-08002B2CF9AE}" pid="3" name="Creator">
    <vt:lpwstr>Adobe InDesign 18.1 (Windows)</vt:lpwstr>
  </property>
  <property fmtid="{D5CDD505-2E9C-101B-9397-08002B2CF9AE}" pid="4" name="LastSaved">
    <vt:filetime>2023-01-30T23:00:00Z</vt:filetime>
  </property>
  <property fmtid="{D5CDD505-2E9C-101B-9397-08002B2CF9AE}" pid="5" name="Producer">
    <vt:lpwstr>Adobe PDF Library 17.0</vt:lpwstr>
  </property>
</Properties>
</file>