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9019A" w14:textId="77777777" w:rsidR="00466A15" w:rsidRPr="00F915A7" w:rsidRDefault="00000000">
      <w:pPr>
        <w:widowControl/>
        <w:spacing w:before="120" w:line="324" w:lineRule="auto"/>
        <w:ind w:left="4708" w:right="1059"/>
        <w:rPr>
          <w:rFonts w:ascii="EB Garamond" w:eastAsia="EB Garamond" w:hAnsi="EB Garamond" w:cs="EB Garamond"/>
          <w:sz w:val="16"/>
          <w:szCs w:val="16"/>
          <w:lang w:val="en-GB"/>
        </w:rPr>
      </w:pPr>
      <w:r w:rsidRPr="00F915A7">
        <w:rPr>
          <w:rFonts w:ascii="EB Garamond" w:eastAsia="EB Garamond" w:hAnsi="EB Garamond" w:cs="EB Garamond"/>
          <w:color w:val="808080"/>
          <w:sz w:val="16"/>
          <w:szCs w:val="16"/>
          <w:lang w:val="en-GB"/>
        </w:rPr>
        <w:t>Submitted: 31/08/2025</w:t>
      </w:r>
      <w:r w:rsidRPr="00F915A7">
        <w:rPr>
          <w:rFonts w:ascii="EB Garamond" w:eastAsia="EB Garamond" w:hAnsi="EB Garamond" w:cs="EB Garamond"/>
          <w:color w:val="808080"/>
          <w:sz w:val="16"/>
          <w:szCs w:val="16"/>
          <w:lang w:val="en-GB"/>
        </w:rPr>
        <w:tab/>
        <w:t>Accepted: 04/11/2025</w:t>
      </w:r>
      <w:r>
        <w:rPr>
          <w:noProof/>
        </w:rPr>
        <w:drawing>
          <wp:anchor distT="0" distB="0" distL="0" distR="0" simplePos="0" relativeHeight="251658240" behindDoc="0" locked="0" layoutInCell="1" hidden="0" allowOverlap="1" wp14:anchorId="3FAA4DE6" wp14:editId="037B3E56">
            <wp:simplePos x="0" y="0"/>
            <wp:positionH relativeFrom="column">
              <wp:posOffset>273050</wp:posOffset>
            </wp:positionH>
            <wp:positionV relativeFrom="paragraph">
              <wp:posOffset>209550</wp:posOffset>
            </wp:positionV>
            <wp:extent cx="1924913" cy="473114"/>
            <wp:effectExtent l="0" t="0" r="0" b="0"/>
            <wp:wrapNone/>
            <wp:docPr id="209091977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1924913" cy="473114"/>
                    </a:xfrm>
                    <a:prstGeom prst="rect">
                      <a:avLst/>
                    </a:prstGeom>
                    <a:ln/>
                  </pic:spPr>
                </pic:pic>
              </a:graphicData>
            </a:graphic>
          </wp:anchor>
        </w:drawing>
      </w:r>
      <w:r>
        <w:rPr>
          <w:noProof/>
        </w:rPr>
        <w:drawing>
          <wp:anchor distT="0" distB="0" distL="0" distR="0" simplePos="0" relativeHeight="251659264" behindDoc="0" locked="0" layoutInCell="1" hidden="0" allowOverlap="1" wp14:anchorId="2A130B30" wp14:editId="37A0EEC7">
            <wp:simplePos x="0" y="0"/>
            <wp:positionH relativeFrom="column">
              <wp:posOffset>273050</wp:posOffset>
            </wp:positionH>
            <wp:positionV relativeFrom="paragraph">
              <wp:posOffset>209550</wp:posOffset>
            </wp:positionV>
            <wp:extent cx="1924913" cy="473114"/>
            <wp:effectExtent l="0" t="0" r="0" b="0"/>
            <wp:wrapNone/>
            <wp:docPr id="209091977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1924913" cy="473114"/>
                    </a:xfrm>
                    <a:prstGeom prst="rect">
                      <a:avLst/>
                    </a:prstGeom>
                    <a:ln/>
                  </pic:spPr>
                </pic:pic>
              </a:graphicData>
            </a:graphic>
          </wp:anchor>
        </w:drawing>
      </w:r>
    </w:p>
    <w:p w14:paraId="07DF3702" w14:textId="77777777" w:rsidR="00466A15" w:rsidRPr="00F915A7" w:rsidRDefault="00000000">
      <w:pPr>
        <w:widowControl/>
        <w:spacing w:before="1"/>
        <w:ind w:left="4708"/>
        <w:rPr>
          <w:rFonts w:ascii="EB Garamond" w:eastAsia="EB Garamond" w:hAnsi="EB Garamond" w:cs="EB Garamond"/>
          <w:sz w:val="16"/>
          <w:szCs w:val="16"/>
          <w:lang w:val="en-GB"/>
        </w:rPr>
      </w:pPr>
      <w:r w:rsidRPr="00F915A7">
        <w:rPr>
          <w:rFonts w:ascii="EB Garamond" w:eastAsia="EB Garamond" w:hAnsi="EB Garamond" w:cs="EB Garamond"/>
          <w:color w:val="808080"/>
          <w:sz w:val="16"/>
          <w:szCs w:val="16"/>
          <w:lang w:val="en-GB"/>
        </w:rPr>
        <w:t>Published: 30/01/2026</w:t>
      </w:r>
    </w:p>
    <w:p w14:paraId="194DF4D6" w14:textId="77777777" w:rsidR="00466A15" w:rsidRPr="00F915A7" w:rsidRDefault="00466A15">
      <w:pPr>
        <w:widowControl/>
        <w:spacing w:before="39" w:line="252" w:lineRule="auto"/>
        <w:ind w:left="638" w:right="130"/>
        <w:rPr>
          <w:rFonts w:ascii="Arial Narrow" w:eastAsia="Arial Narrow" w:hAnsi="Arial Narrow" w:cs="Arial Narrow"/>
          <w:color w:val="231F20"/>
          <w:sz w:val="30"/>
          <w:szCs w:val="30"/>
          <w:lang w:val="en-GB"/>
        </w:rPr>
      </w:pPr>
    </w:p>
    <w:p w14:paraId="5EB6768E" w14:textId="77777777" w:rsidR="00466A15" w:rsidRPr="00F915A7" w:rsidRDefault="00000000">
      <w:pPr>
        <w:widowControl/>
        <w:spacing w:before="39" w:line="252" w:lineRule="auto"/>
        <w:ind w:left="426" w:right="370"/>
        <w:rPr>
          <w:sz w:val="18"/>
          <w:szCs w:val="18"/>
          <w:highlight w:val="yellow"/>
          <w:lang w:val="en-GB"/>
        </w:rPr>
      </w:pPr>
      <w:r w:rsidRPr="00F915A7">
        <w:rPr>
          <w:rFonts w:ascii="Arial Narrow" w:eastAsia="Arial Narrow" w:hAnsi="Arial Narrow" w:cs="Arial Narrow"/>
          <w:color w:val="231F20"/>
          <w:sz w:val="30"/>
          <w:szCs w:val="30"/>
          <w:lang w:val="en-GB"/>
        </w:rPr>
        <w:t>The economic impact of advertising on Netflix, Prime Video, Disney+ and HBO Max. From SVOD to AVOD.</w:t>
      </w:r>
      <w:r w:rsidRPr="00F915A7">
        <w:rPr>
          <w:rFonts w:ascii="Arial Narrow" w:eastAsia="Arial Narrow" w:hAnsi="Arial Narrow" w:cs="Arial Narrow"/>
          <w:color w:val="231F20"/>
          <w:sz w:val="30"/>
          <w:szCs w:val="30"/>
          <w:highlight w:val="yellow"/>
          <w:lang w:val="en-GB"/>
        </w:rPr>
        <w:t xml:space="preserve"> </w:t>
      </w:r>
    </w:p>
    <w:p w14:paraId="18EF0400" w14:textId="77777777" w:rsidR="00466A15" w:rsidRPr="00F915A7" w:rsidRDefault="00000000">
      <w:pPr>
        <w:widowControl/>
        <w:spacing w:line="276" w:lineRule="auto"/>
        <w:ind w:left="426" w:right="370"/>
        <w:rPr>
          <w:color w:val="822108"/>
          <w:sz w:val="16"/>
          <w:szCs w:val="16"/>
          <w:lang w:val="en-GB"/>
        </w:rPr>
      </w:pPr>
      <w:r w:rsidRPr="00F915A7">
        <w:rPr>
          <w:color w:val="822108"/>
          <w:sz w:val="16"/>
          <w:szCs w:val="16"/>
          <w:lang w:val="en-GB"/>
        </w:rPr>
        <w:t xml:space="preserve">Fernando García-Chamizo| </w:t>
      </w:r>
      <w:hyperlink r:id="rId9">
        <w:r w:rsidRPr="00F915A7">
          <w:rPr>
            <w:color w:val="0000FF"/>
            <w:sz w:val="16"/>
            <w:szCs w:val="16"/>
            <w:u w:val="single"/>
            <w:lang w:val="en-GB"/>
          </w:rPr>
          <w:t>fernando.garciachamizo@gmail.com</w:t>
        </w:r>
      </w:hyperlink>
      <w:r>
        <w:rPr>
          <w:noProof/>
        </w:rPr>
        <mc:AlternateContent>
          <mc:Choice Requires="wpg">
            <w:drawing>
              <wp:anchor distT="4445" distB="4445" distL="4445" distR="4445" simplePos="0" relativeHeight="251660288" behindDoc="0" locked="0" layoutInCell="1" hidden="0" allowOverlap="1" wp14:anchorId="33F526EE" wp14:editId="5EE33BBF">
                <wp:simplePos x="0" y="0"/>
                <wp:positionH relativeFrom="column">
                  <wp:posOffset>2879052</wp:posOffset>
                </wp:positionH>
                <wp:positionV relativeFrom="paragraph">
                  <wp:posOffset>41669</wp:posOffset>
                </wp:positionV>
                <wp:extent cx="2438400" cy="1355147"/>
                <wp:effectExtent l="0" t="0" r="0" b="0"/>
                <wp:wrapNone/>
                <wp:docPr id="2090919764" name="Rectángulo 2090919764"/>
                <wp:cNvGraphicFramePr/>
                <a:graphic xmlns:a="http://schemas.openxmlformats.org/drawingml/2006/main">
                  <a:graphicData uri="http://schemas.microsoft.com/office/word/2010/wordprocessingShape">
                    <wps:wsp>
                      <wps:cNvSpPr/>
                      <wps:spPr>
                        <a:xfrm>
                          <a:off x="4129848" y="3187469"/>
                          <a:ext cx="2432304" cy="1185063"/>
                        </a:xfrm>
                        <a:prstGeom prst="rect">
                          <a:avLst/>
                        </a:prstGeom>
                        <a:solidFill>
                          <a:schemeClr val="lt1"/>
                        </a:solidFill>
                        <a:ln w="9525" cap="flat" cmpd="sng">
                          <a:solidFill>
                            <a:srgbClr val="C00000"/>
                          </a:solidFill>
                          <a:prstDash val="solid"/>
                          <a:round/>
                          <a:headEnd type="none" w="sm" len="sm"/>
                          <a:tailEnd type="none" w="sm" len="sm"/>
                        </a:ln>
                      </wps:spPr>
                      <wps:txbx>
                        <w:txbxContent>
                          <w:p w14:paraId="25878922" w14:textId="77777777" w:rsidR="00466A15" w:rsidRDefault="00000000">
                            <w:pPr>
                              <w:spacing w:before="20" w:line="283" w:lineRule="auto"/>
                              <w:ind w:left="20" w:firstLine="40"/>
                              <w:textDirection w:val="btLr"/>
                            </w:pPr>
                            <w:r>
                              <w:rPr>
                                <w:b/>
                                <w:color w:val="231F20"/>
                                <w:sz w:val="16"/>
                              </w:rPr>
                              <w:t xml:space="preserve">How </w:t>
                            </w:r>
                            <w:proofErr w:type="spellStart"/>
                            <w:r>
                              <w:rPr>
                                <w:b/>
                                <w:color w:val="231F20"/>
                                <w:sz w:val="16"/>
                              </w:rPr>
                              <w:t>to</w:t>
                            </w:r>
                            <w:proofErr w:type="spellEnd"/>
                            <w:r>
                              <w:rPr>
                                <w:b/>
                                <w:color w:val="231F20"/>
                                <w:sz w:val="16"/>
                              </w:rPr>
                              <w:t xml:space="preserve"> cite </w:t>
                            </w:r>
                            <w:proofErr w:type="spellStart"/>
                            <w:r>
                              <w:rPr>
                                <w:b/>
                                <w:color w:val="231F20"/>
                                <w:sz w:val="16"/>
                              </w:rPr>
                              <w:t>this</w:t>
                            </w:r>
                            <w:proofErr w:type="spellEnd"/>
                            <w:r>
                              <w:rPr>
                                <w:b/>
                                <w:color w:val="231F20"/>
                                <w:sz w:val="16"/>
                              </w:rPr>
                              <w:t xml:space="preserve"> </w:t>
                            </w:r>
                            <w:proofErr w:type="spellStart"/>
                            <w:r>
                              <w:rPr>
                                <w:b/>
                                <w:color w:val="231F20"/>
                                <w:sz w:val="16"/>
                              </w:rPr>
                              <w:t>text</w:t>
                            </w:r>
                            <w:proofErr w:type="spellEnd"/>
                            <w:r>
                              <w:rPr>
                                <w:b/>
                                <w:color w:val="231F20"/>
                                <w:sz w:val="16"/>
                              </w:rPr>
                              <w:t xml:space="preserve">: </w:t>
                            </w:r>
                            <w:r>
                              <w:rPr>
                                <w:color w:val="231F20"/>
                                <w:sz w:val="16"/>
                              </w:rPr>
                              <w:t xml:space="preserve">Fernando García-Chamizo, </w:t>
                            </w:r>
                            <w:proofErr w:type="spellStart"/>
                            <w:r>
                              <w:rPr>
                                <w:color w:val="231F20"/>
                                <w:sz w:val="16"/>
                              </w:rPr>
                              <w:t>Jose</w:t>
                            </w:r>
                            <w:proofErr w:type="spellEnd"/>
                            <w:r>
                              <w:rPr>
                                <w:color w:val="231F20"/>
                                <w:sz w:val="16"/>
                              </w:rPr>
                              <w:t xml:space="preserve"> Manuel López-Agulló Pérez-Caballero &amp; Belén Ávila Rodríguez-de-Mier  (2026): Impacto económico de la publicidad en Netflix, Prime Video, Disney + y HBO Max. Del SVOD al AVOD, en </w:t>
                            </w:r>
                            <w:r>
                              <w:rPr>
                                <w:i/>
                                <w:color w:val="231F20"/>
                                <w:sz w:val="16"/>
                              </w:rPr>
                              <w:t xml:space="preserve">Miguel Hernández </w:t>
                            </w:r>
                            <w:proofErr w:type="spellStart"/>
                            <w:r>
                              <w:rPr>
                                <w:i/>
                                <w:color w:val="231F20"/>
                                <w:sz w:val="16"/>
                              </w:rPr>
                              <w:t>Communication</w:t>
                            </w:r>
                            <w:proofErr w:type="spellEnd"/>
                            <w:r>
                              <w:rPr>
                                <w:i/>
                                <w:color w:val="231F20"/>
                                <w:sz w:val="16"/>
                              </w:rPr>
                              <w:t xml:space="preserve"> </w:t>
                            </w:r>
                            <w:proofErr w:type="spellStart"/>
                            <w:r>
                              <w:rPr>
                                <w:i/>
                                <w:color w:val="231F20"/>
                                <w:sz w:val="16"/>
                              </w:rPr>
                              <w:t>Journal</w:t>
                            </w:r>
                            <w:proofErr w:type="spellEnd"/>
                            <w:r>
                              <w:rPr>
                                <w:color w:val="231F20"/>
                                <w:sz w:val="16"/>
                              </w:rPr>
                              <w:t>, Vol. 17 (1), pp. 141 a 169. Universidad Miguel Hernández, UMH (Elche-Alicante). DOI:  10.21134/knpqns55</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445" distT="4445" distL="4445" distR="4445" hidden="0" layoutInCell="1" locked="0" relativeHeight="0" simplePos="0">
                <wp:simplePos x="0" y="0"/>
                <wp:positionH relativeFrom="column">
                  <wp:posOffset>2879052</wp:posOffset>
                </wp:positionH>
                <wp:positionV relativeFrom="paragraph">
                  <wp:posOffset>41669</wp:posOffset>
                </wp:positionV>
                <wp:extent cx="2438400" cy="1355147"/>
                <wp:effectExtent b="0" l="0" r="0" t="0"/>
                <wp:wrapNone/>
                <wp:docPr id="2090919764"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2438400" cy="1355147"/>
                        </a:xfrm>
                        <a:prstGeom prst="rect"/>
                        <a:ln/>
                      </pic:spPr>
                    </pic:pic>
                  </a:graphicData>
                </a:graphic>
              </wp:anchor>
            </w:drawing>
          </mc:Fallback>
        </mc:AlternateContent>
      </w:r>
    </w:p>
    <w:p w14:paraId="24792262" w14:textId="77777777" w:rsidR="00466A15" w:rsidRPr="00F915A7" w:rsidRDefault="00000000">
      <w:pPr>
        <w:widowControl/>
        <w:spacing w:line="276" w:lineRule="auto"/>
        <w:ind w:left="426" w:right="370"/>
        <w:rPr>
          <w:color w:val="822108"/>
          <w:sz w:val="16"/>
          <w:szCs w:val="16"/>
          <w:lang w:val="en-GB"/>
        </w:rPr>
      </w:pPr>
      <w:hyperlink r:id="rId11">
        <w:r w:rsidRPr="00F915A7">
          <w:rPr>
            <w:color w:val="0000FF"/>
            <w:sz w:val="16"/>
            <w:szCs w:val="16"/>
            <w:u w:val="single"/>
            <w:lang w:val="en-GB"/>
          </w:rPr>
          <w:t>https://orcid.org/0000-0002-1543-2960</w:t>
        </w:r>
      </w:hyperlink>
    </w:p>
    <w:p w14:paraId="5628CDC9" w14:textId="77777777" w:rsidR="00466A15" w:rsidRPr="00F915A7" w:rsidRDefault="00000000">
      <w:pPr>
        <w:widowControl/>
        <w:spacing w:line="276" w:lineRule="auto"/>
        <w:ind w:left="426" w:right="370"/>
        <w:rPr>
          <w:color w:val="000000"/>
          <w:sz w:val="16"/>
          <w:szCs w:val="16"/>
          <w:lang w:val="en-GB"/>
        </w:rPr>
      </w:pPr>
      <w:r w:rsidRPr="00F915A7">
        <w:rPr>
          <w:color w:val="000000"/>
          <w:sz w:val="16"/>
          <w:szCs w:val="16"/>
          <w:lang w:val="en-GB"/>
        </w:rPr>
        <w:t>ESIC University-ESIC Business &amp; Marketing School</w:t>
      </w:r>
    </w:p>
    <w:p w14:paraId="766B7D18" w14:textId="77777777" w:rsidR="00466A15" w:rsidRDefault="00000000">
      <w:pPr>
        <w:widowControl/>
        <w:spacing w:line="276" w:lineRule="auto"/>
        <w:ind w:left="426" w:right="370"/>
        <w:rPr>
          <w:color w:val="822108"/>
          <w:sz w:val="16"/>
          <w:szCs w:val="16"/>
        </w:rPr>
      </w:pPr>
      <w:proofErr w:type="spellStart"/>
      <w:r>
        <w:rPr>
          <w:color w:val="822108"/>
          <w:sz w:val="16"/>
          <w:szCs w:val="16"/>
        </w:rPr>
        <w:t>Jose</w:t>
      </w:r>
      <w:proofErr w:type="spellEnd"/>
      <w:r>
        <w:rPr>
          <w:color w:val="822108"/>
          <w:sz w:val="16"/>
          <w:szCs w:val="16"/>
        </w:rPr>
        <w:t xml:space="preserve"> Manuel López-Agulló Pérez-Caballero |</w:t>
      </w:r>
      <w:r>
        <w:t xml:space="preserve"> </w:t>
      </w:r>
      <w:r>
        <w:rPr>
          <w:color w:val="822108"/>
          <w:sz w:val="16"/>
          <w:szCs w:val="16"/>
        </w:rPr>
        <w:t>jolopeza@ucm.es</w:t>
      </w:r>
    </w:p>
    <w:p w14:paraId="14AB0333" w14:textId="77777777" w:rsidR="00466A15" w:rsidRDefault="00000000">
      <w:pPr>
        <w:widowControl/>
        <w:spacing w:line="276" w:lineRule="auto"/>
        <w:ind w:left="426" w:right="370"/>
        <w:rPr>
          <w:color w:val="822108"/>
          <w:sz w:val="16"/>
          <w:szCs w:val="16"/>
        </w:rPr>
      </w:pPr>
      <w:hyperlink r:id="rId12">
        <w:r>
          <w:rPr>
            <w:color w:val="0000FF"/>
            <w:sz w:val="16"/>
            <w:szCs w:val="16"/>
            <w:u w:val="single"/>
          </w:rPr>
          <w:t>https://orcid.org/0000-0002-8791-5179</w:t>
        </w:r>
      </w:hyperlink>
    </w:p>
    <w:p w14:paraId="7FA66A34" w14:textId="77777777" w:rsidR="00466A15" w:rsidRDefault="00000000">
      <w:pPr>
        <w:widowControl/>
        <w:spacing w:line="276" w:lineRule="auto"/>
        <w:ind w:left="426" w:right="370"/>
        <w:rPr>
          <w:sz w:val="16"/>
          <w:szCs w:val="16"/>
        </w:rPr>
      </w:pPr>
      <w:r>
        <w:rPr>
          <w:sz w:val="16"/>
          <w:szCs w:val="16"/>
        </w:rPr>
        <w:t>Universidad Complutense de Madrid</w:t>
      </w:r>
    </w:p>
    <w:p w14:paraId="2E455350" w14:textId="77777777" w:rsidR="00466A15" w:rsidRDefault="00000000">
      <w:pPr>
        <w:widowControl/>
        <w:spacing w:line="276" w:lineRule="auto"/>
        <w:ind w:left="426" w:right="370"/>
        <w:rPr>
          <w:color w:val="822108"/>
          <w:sz w:val="16"/>
          <w:szCs w:val="16"/>
        </w:rPr>
      </w:pPr>
      <w:r>
        <w:rPr>
          <w:color w:val="822108"/>
          <w:sz w:val="16"/>
          <w:szCs w:val="16"/>
        </w:rPr>
        <w:t xml:space="preserve">Belén Ávila Rodríguez-de-Mier | </w:t>
      </w:r>
      <w:hyperlink r:id="rId13">
        <w:r>
          <w:rPr>
            <w:color w:val="0000FF"/>
            <w:sz w:val="16"/>
            <w:szCs w:val="16"/>
            <w:u w:val="single"/>
          </w:rPr>
          <w:t>belen.avila@esic.university</w:t>
        </w:r>
      </w:hyperlink>
    </w:p>
    <w:p w14:paraId="3499F8CF" w14:textId="77777777" w:rsidR="00466A15" w:rsidRDefault="00000000">
      <w:pPr>
        <w:widowControl/>
        <w:spacing w:line="276" w:lineRule="auto"/>
        <w:ind w:left="426" w:right="370"/>
        <w:rPr>
          <w:color w:val="822108"/>
          <w:sz w:val="16"/>
          <w:szCs w:val="16"/>
        </w:rPr>
      </w:pPr>
      <w:hyperlink r:id="rId14">
        <w:r>
          <w:rPr>
            <w:color w:val="0000FF"/>
            <w:sz w:val="16"/>
            <w:szCs w:val="16"/>
            <w:u w:val="single"/>
          </w:rPr>
          <w:t>https://orcid.org/0000-0001-8381-4461</w:t>
        </w:r>
      </w:hyperlink>
    </w:p>
    <w:p w14:paraId="11EAE163" w14:textId="77777777" w:rsidR="00466A15" w:rsidRDefault="00000000">
      <w:pPr>
        <w:widowControl/>
        <w:spacing w:line="276" w:lineRule="auto"/>
        <w:ind w:left="426" w:right="370"/>
        <w:rPr>
          <w:sz w:val="16"/>
          <w:szCs w:val="16"/>
          <w:highlight w:val="yellow"/>
        </w:rPr>
      </w:pPr>
      <w:r>
        <w:rPr>
          <w:sz w:val="16"/>
          <w:szCs w:val="16"/>
        </w:rPr>
        <w:t xml:space="preserve">ESIC </w:t>
      </w:r>
      <w:proofErr w:type="spellStart"/>
      <w:r>
        <w:rPr>
          <w:sz w:val="16"/>
          <w:szCs w:val="16"/>
        </w:rPr>
        <w:t>University</w:t>
      </w:r>
      <w:proofErr w:type="spellEnd"/>
    </w:p>
    <w:p w14:paraId="7AD551AD" w14:textId="77777777" w:rsidR="00466A15" w:rsidRDefault="00466A15">
      <w:pPr>
        <w:widowControl/>
        <w:spacing w:before="80"/>
        <w:ind w:left="641" w:right="85"/>
        <w:rPr>
          <w:sz w:val="20"/>
          <w:szCs w:val="20"/>
        </w:rPr>
      </w:pPr>
    </w:p>
    <w:tbl>
      <w:tblPr>
        <w:tblStyle w:val="a3"/>
        <w:tblW w:w="7087" w:type="dxa"/>
        <w:tblInd w:w="421" w:type="dxa"/>
        <w:tblBorders>
          <w:top w:val="nil"/>
          <w:left w:val="nil"/>
          <w:bottom w:val="nil"/>
          <w:right w:val="nil"/>
          <w:insideH w:val="nil"/>
          <w:insideV w:val="nil"/>
        </w:tblBorders>
        <w:tblLayout w:type="fixed"/>
        <w:tblLook w:val="0400" w:firstRow="0" w:lastRow="0" w:firstColumn="0" w:lastColumn="0" w:noHBand="0" w:noVBand="1"/>
      </w:tblPr>
      <w:tblGrid>
        <w:gridCol w:w="2409"/>
        <w:gridCol w:w="4678"/>
      </w:tblGrid>
      <w:tr w:rsidR="00466A15" w14:paraId="2539E239" w14:textId="77777777">
        <w:trPr>
          <w:trHeight w:val="479"/>
        </w:trPr>
        <w:tc>
          <w:tcPr>
            <w:tcW w:w="2409" w:type="dxa"/>
            <w:vAlign w:val="center"/>
          </w:tcPr>
          <w:p w14:paraId="64AB5B52" w14:textId="14EA5A4A" w:rsidR="00466A15" w:rsidRDefault="00000000">
            <w:pPr>
              <w:widowControl/>
              <w:spacing w:before="177" w:line="204" w:lineRule="auto"/>
              <w:rPr>
                <w:b/>
                <w:bCs/>
                <w:sz w:val="18"/>
                <w:szCs w:val="18"/>
              </w:rPr>
            </w:pPr>
            <w:proofErr w:type="spellStart"/>
            <w:r>
              <w:rPr>
                <w:b/>
                <w:bCs/>
                <w:sz w:val="18"/>
                <w:szCs w:val="18"/>
              </w:rPr>
              <w:t>Sum</w:t>
            </w:r>
            <w:r w:rsidR="00F915A7">
              <w:rPr>
                <w:b/>
                <w:bCs/>
                <w:sz w:val="18"/>
                <w:szCs w:val="18"/>
              </w:rPr>
              <w:t>m</w:t>
            </w:r>
            <w:r>
              <w:rPr>
                <w:b/>
                <w:bCs/>
                <w:sz w:val="18"/>
                <w:szCs w:val="18"/>
              </w:rPr>
              <w:t>ar</w:t>
            </w:r>
            <w:r w:rsidR="00F915A7">
              <w:rPr>
                <w:b/>
                <w:bCs/>
                <w:sz w:val="18"/>
                <w:szCs w:val="18"/>
              </w:rPr>
              <w:t>y</w:t>
            </w:r>
            <w:proofErr w:type="spellEnd"/>
          </w:p>
        </w:tc>
        <w:tc>
          <w:tcPr>
            <w:tcW w:w="4678" w:type="dxa"/>
            <w:vAlign w:val="center"/>
          </w:tcPr>
          <w:p w14:paraId="1CDB5433" w14:textId="77777777" w:rsidR="00466A15" w:rsidRDefault="00000000">
            <w:pPr>
              <w:widowControl/>
              <w:spacing w:before="177" w:line="204" w:lineRule="auto"/>
              <w:rPr>
                <w:b/>
                <w:bCs/>
                <w:sz w:val="18"/>
                <w:szCs w:val="18"/>
              </w:rPr>
            </w:pPr>
            <w:proofErr w:type="spellStart"/>
            <w:r>
              <w:rPr>
                <w:b/>
                <w:bCs/>
                <w:sz w:val="18"/>
                <w:szCs w:val="18"/>
              </w:rPr>
              <w:t>Abstract</w:t>
            </w:r>
            <w:proofErr w:type="spellEnd"/>
          </w:p>
        </w:tc>
      </w:tr>
      <w:tr w:rsidR="00466A15" w:rsidRPr="00F915A7" w14:paraId="5372A8C1" w14:textId="77777777">
        <w:tc>
          <w:tcPr>
            <w:tcW w:w="2409" w:type="dxa"/>
          </w:tcPr>
          <w:p w14:paraId="38A8794D" w14:textId="0DEF5794" w:rsidR="00466A15" w:rsidRPr="00F915A7" w:rsidRDefault="00000000">
            <w:pPr>
              <w:widowControl/>
              <w:pBdr>
                <w:top w:val="nil"/>
                <w:left w:val="nil"/>
                <w:bottom w:val="nil"/>
                <w:right w:val="nil"/>
                <w:between w:val="nil"/>
              </w:pBdr>
              <w:tabs>
                <w:tab w:val="left" w:pos="169"/>
              </w:tabs>
              <w:spacing w:before="9" w:line="199" w:lineRule="auto"/>
              <w:ind w:right="36"/>
              <w:rPr>
                <w:color w:val="808080"/>
                <w:sz w:val="16"/>
                <w:szCs w:val="16"/>
                <w:lang w:val="en-GB"/>
              </w:rPr>
            </w:pPr>
            <w:r w:rsidRPr="00F915A7">
              <w:rPr>
                <w:color w:val="808080"/>
                <w:sz w:val="16"/>
                <w:szCs w:val="16"/>
                <w:lang w:val="en-GB"/>
              </w:rPr>
              <w:t>1. Introduction</w:t>
            </w:r>
          </w:p>
          <w:p w14:paraId="32425B96" w14:textId="77777777" w:rsidR="00466A15" w:rsidRPr="00F915A7" w:rsidRDefault="00000000">
            <w:pPr>
              <w:widowControl/>
              <w:pBdr>
                <w:top w:val="nil"/>
                <w:left w:val="nil"/>
                <w:bottom w:val="nil"/>
                <w:right w:val="nil"/>
                <w:between w:val="nil"/>
              </w:pBdr>
              <w:tabs>
                <w:tab w:val="left" w:pos="169"/>
              </w:tabs>
              <w:spacing w:before="9" w:line="199" w:lineRule="auto"/>
              <w:ind w:left="169" w:right="36"/>
              <w:rPr>
                <w:color w:val="808080"/>
                <w:sz w:val="16"/>
                <w:szCs w:val="16"/>
                <w:lang w:val="en-GB"/>
              </w:rPr>
            </w:pPr>
            <w:r w:rsidRPr="00F915A7">
              <w:rPr>
                <w:color w:val="808080"/>
                <w:sz w:val="16"/>
                <w:szCs w:val="16"/>
                <w:lang w:val="en-GB"/>
              </w:rPr>
              <w:t>1.1. Context and evolution of streaming</w:t>
            </w:r>
          </w:p>
          <w:p w14:paraId="36C05073" w14:textId="77777777" w:rsidR="00466A15" w:rsidRPr="00F915A7" w:rsidRDefault="00000000">
            <w:pPr>
              <w:widowControl/>
              <w:pBdr>
                <w:top w:val="nil"/>
                <w:left w:val="nil"/>
                <w:bottom w:val="nil"/>
                <w:right w:val="nil"/>
                <w:between w:val="nil"/>
              </w:pBdr>
              <w:tabs>
                <w:tab w:val="left" w:pos="169"/>
              </w:tabs>
              <w:spacing w:before="9" w:line="199" w:lineRule="auto"/>
              <w:ind w:left="169" w:right="36"/>
              <w:rPr>
                <w:color w:val="808080"/>
                <w:sz w:val="16"/>
                <w:szCs w:val="16"/>
                <w:lang w:val="en-GB"/>
              </w:rPr>
            </w:pPr>
            <w:r w:rsidRPr="00F915A7">
              <w:rPr>
                <w:color w:val="808080"/>
                <w:sz w:val="16"/>
                <w:szCs w:val="16"/>
                <w:lang w:val="en-GB"/>
              </w:rPr>
              <w:t>1.2. The SVOD paradigm and its limitations</w:t>
            </w:r>
          </w:p>
          <w:p w14:paraId="0ADB2625" w14:textId="77777777" w:rsidR="00466A15" w:rsidRPr="00F915A7" w:rsidRDefault="00000000">
            <w:pPr>
              <w:widowControl/>
              <w:pBdr>
                <w:top w:val="nil"/>
                <w:left w:val="nil"/>
                <w:bottom w:val="nil"/>
                <w:right w:val="nil"/>
                <w:between w:val="nil"/>
              </w:pBdr>
              <w:tabs>
                <w:tab w:val="left" w:pos="169"/>
              </w:tabs>
              <w:spacing w:before="9" w:line="199" w:lineRule="auto"/>
              <w:ind w:left="169" w:right="36"/>
              <w:rPr>
                <w:color w:val="808080"/>
                <w:sz w:val="16"/>
                <w:szCs w:val="16"/>
                <w:lang w:val="en-GB"/>
              </w:rPr>
            </w:pPr>
            <w:r w:rsidRPr="00F915A7">
              <w:rPr>
                <w:color w:val="808080"/>
                <w:sz w:val="16"/>
                <w:szCs w:val="16"/>
                <w:lang w:val="en-GB"/>
              </w:rPr>
              <w:t>1.3. The transition to AVOD and HVOD</w:t>
            </w:r>
          </w:p>
          <w:p w14:paraId="14530F2B" w14:textId="77777777" w:rsidR="00466A15" w:rsidRPr="00F915A7" w:rsidRDefault="00000000">
            <w:pPr>
              <w:widowControl/>
              <w:pBdr>
                <w:top w:val="nil"/>
                <w:left w:val="nil"/>
                <w:bottom w:val="nil"/>
                <w:right w:val="nil"/>
                <w:between w:val="nil"/>
              </w:pBdr>
              <w:tabs>
                <w:tab w:val="left" w:pos="169"/>
              </w:tabs>
              <w:spacing w:before="9" w:line="199" w:lineRule="auto"/>
              <w:ind w:left="169" w:right="36"/>
              <w:rPr>
                <w:color w:val="808080"/>
                <w:sz w:val="16"/>
                <w:szCs w:val="16"/>
                <w:lang w:val="en-GB"/>
              </w:rPr>
            </w:pPr>
            <w:r w:rsidRPr="00F915A7">
              <w:rPr>
                <w:color w:val="808080"/>
                <w:sz w:val="16"/>
                <w:szCs w:val="16"/>
                <w:lang w:val="en-GB"/>
              </w:rPr>
              <w:t>1.4. Relevance and justification of the study</w:t>
            </w:r>
          </w:p>
          <w:p w14:paraId="5179A12A" w14:textId="77777777" w:rsidR="00466A15" w:rsidRPr="00F915A7" w:rsidRDefault="00000000">
            <w:pPr>
              <w:widowControl/>
              <w:pBdr>
                <w:top w:val="nil"/>
                <w:left w:val="nil"/>
                <w:bottom w:val="nil"/>
                <w:right w:val="nil"/>
                <w:between w:val="nil"/>
              </w:pBdr>
              <w:tabs>
                <w:tab w:val="left" w:pos="169"/>
              </w:tabs>
              <w:spacing w:before="9" w:line="199" w:lineRule="auto"/>
              <w:ind w:right="36"/>
              <w:rPr>
                <w:color w:val="808080"/>
                <w:sz w:val="16"/>
                <w:szCs w:val="16"/>
                <w:lang w:val="en-GB"/>
              </w:rPr>
            </w:pPr>
            <w:r w:rsidRPr="00F915A7">
              <w:rPr>
                <w:color w:val="808080"/>
                <w:sz w:val="16"/>
                <w:szCs w:val="16"/>
                <w:lang w:val="en-GB"/>
              </w:rPr>
              <w:t>2. Theoretical framework</w:t>
            </w:r>
          </w:p>
          <w:p w14:paraId="4228991B" w14:textId="77777777" w:rsidR="00466A15" w:rsidRPr="00F915A7" w:rsidRDefault="00000000">
            <w:pPr>
              <w:widowControl/>
              <w:pBdr>
                <w:top w:val="nil"/>
                <w:left w:val="nil"/>
                <w:bottom w:val="nil"/>
                <w:right w:val="nil"/>
                <w:between w:val="nil"/>
              </w:pBdr>
              <w:tabs>
                <w:tab w:val="left" w:pos="169"/>
              </w:tabs>
              <w:spacing w:before="9" w:line="199" w:lineRule="auto"/>
              <w:ind w:left="169" w:right="36"/>
              <w:rPr>
                <w:color w:val="808080"/>
                <w:sz w:val="16"/>
                <w:szCs w:val="16"/>
                <w:lang w:val="en-GB"/>
              </w:rPr>
            </w:pPr>
            <w:r w:rsidRPr="00F915A7">
              <w:rPr>
                <w:color w:val="808080"/>
                <w:sz w:val="16"/>
                <w:szCs w:val="16"/>
                <w:lang w:val="en-GB"/>
              </w:rPr>
              <w:t>2.1. Business models in streaming: SVOD, AVOD, TVOD, and HVOD</w:t>
            </w:r>
          </w:p>
          <w:p w14:paraId="2A867A46" w14:textId="77777777" w:rsidR="00466A15" w:rsidRPr="00F915A7" w:rsidRDefault="00000000">
            <w:pPr>
              <w:widowControl/>
              <w:pBdr>
                <w:top w:val="nil"/>
                <w:left w:val="nil"/>
                <w:bottom w:val="nil"/>
                <w:right w:val="nil"/>
                <w:between w:val="nil"/>
              </w:pBdr>
              <w:tabs>
                <w:tab w:val="left" w:pos="169"/>
              </w:tabs>
              <w:spacing w:before="9" w:line="199" w:lineRule="auto"/>
              <w:ind w:left="169" w:right="36"/>
              <w:rPr>
                <w:color w:val="808080"/>
                <w:sz w:val="16"/>
                <w:szCs w:val="16"/>
                <w:lang w:val="en-GB"/>
              </w:rPr>
            </w:pPr>
            <w:r w:rsidRPr="00F915A7">
              <w:rPr>
                <w:color w:val="808080"/>
                <w:sz w:val="16"/>
                <w:szCs w:val="16"/>
                <w:lang w:val="en-GB"/>
              </w:rPr>
              <w:t>2.2. Theories of digital advertising and the attention economy</w:t>
            </w:r>
          </w:p>
          <w:p w14:paraId="040DA4A1" w14:textId="202B2CBF" w:rsidR="00466A15" w:rsidRPr="00F915A7" w:rsidRDefault="00000000">
            <w:pPr>
              <w:widowControl/>
              <w:pBdr>
                <w:top w:val="nil"/>
                <w:left w:val="nil"/>
                <w:bottom w:val="nil"/>
                <w:right w:val="nil"/>
                <w:between w:val="nil"/>
              </w:pBdr>
              <w:tabs>
                <w:tab w:val="left" w:pos="169"/>
              </w:tabs>
              <w:spacing w:before="9" w:line="199" w:lineRule="auto"/>
              <w:ind w:left="169" w:right="36"/>
              <w:rPr>
                <w:color w:val="808080"/>
                <w:sz w:val="16"/>
                <w:szCs w:val="16"/>
                <w:lang w:val="en-GB"/>
              </w:rPr>
            </w:pPr>
            <w:r w:rsidRPr="00F915A7">
              <w:rPr>
                <w:color w:val="808080"/>
                <w:sz w:val="16"/>
                <w:szCs w:val="16"/>
                <w:lang w:val="en-GB"/>
              </w:rPr>
              <w:t xml:space="preserve">2.3. Consumer </w:t>
            </w:r>
            <w:proofErr w:type="spellStart"/>
            <w:r w:rsidRPr="00F915A7">
              <w:rPr>
                <w:color w:val="808080"/>
                <w:sz w:val="16"/>
                <w:szCs w:val="16"/>
                <w:lang w:val="en-GB"/>
              </w:rPr>
              <w:t>behavior</w:t>
            </w:r>
            <w:proofErr w:type="spellEnd"/>
            <w:r w:rsidRPr="00F915A7">
              <w:rPr>
                <w:color w:val="808080"/>
                <w:sz w:val="16"/>
                <w:szCs w:val="16"/>
                <w:lang w:val="en-GB"/>
              </w:rPr>
              <w:t xml:space="preserve"> in streaming and subscription fatigue</w:t>
            </w:r>
          </w:p>
          <w:p w14:paraId="1A7155C2" w14:textId="77777777" w:rsidR="00466A15" w:rsidRPr="00F915A7" w:rsidRDefault="00000000">
            <w:pPr>
              <w:widowControl/>
              <w:pBdr>
                <w:top w:val="nil"/>
                <w:left w:val="nil"/>
                <w:bottom w:val="nil"/>
                <w:right w:val="nil"/>
                <w:between w:val="nil"/>
              </w:pBdr>
              <w:tabs>
                <w:tab w:val="left" w:pos="169"/>
              </w:tabs>
              <w:spacing w:before="9" w:line="199" w:lineRule="auto"/>
              <w:ind w:left="169" w:right="36"/>
              <w:rPr>
                <w:color w:val="808080"/>
                <w:sz w:val="16"/>
                <w:szCs w:val="16"/>
                <w:lang w:val="en-GB"/>
              </w:rPr>
            </w:pPr>
            <w:r w:rsidRPr="00F915A7">
              <w:rPr>
                <w:color w:val="808080"/>
                <w:sz w:val="16"/>
                <w:szCs w:val="16"/>
                <w:lang w:val="en-GB"/>
              </w:rPr>
              <w:t>2.4. Competitive landscape and market strategies</w:t>
            </w:r>
          </w:p>
          <w:p w14:paraId="08F3BFD5" w14:textId="77777777" w:rsidR="00466A15" w:rsidRPr="00F915A7" w:rsidRDefault="00000000">
            <w:pPr>
              <w:widowControl/>
              <w:pBdr>
                <w:top w:val="nil"/>
                <w:left w:val="nil"/>
                <w:bottom w:val="nil"/>
                <w:right w:val="nil"/>
                <w:between w:val="nil"/>
              </w:pBdr>
              <w:tabs>
                <w:tab w:val="left" w:pos="169"/>
              </w:tabs>
              <w:spacing w:before="9" w:line="199" w:lineRule="auto"/>
              <w:ind w:left="169" w:right="36"/>
              <w:rPr>
                <w:color w:val="808080"/>
                <w:sz w:val="16"/>
                <w:szCs w:val="16"/>
                <w:lang w:val="en-GB"/>
              </w:rPr>
            </w:pPr>
            <w:r w:rsidRPr="00F915A7">
              <w:rPr>
                <w:color w:val="808080"/>
                <w:sz w:val="16"/>
                <w:szCs w:val="16"/>
                <w:lang w:val="en-GB"/>
              </w:rPr>
              <w:t>2.5. Platform capitalism and data-driven monetization</w:t>
            </w:r>
          </w:p>
          <w:p w14:paraId="0A130561" w14:textId="77777777" w:rsidR="00466A15" w:rsidRPr="00F915A7" w:rsidRDefault="00000000">
            <w:pPr>
              <w:widowControl/>
              <w:pBdr>
                <w:top w:val="nil"/>
                <w:left w:val="nil"/>
                <w:bottom w:val="nil"/>
                <w:right w:val="nil"/>
                <w:between w:val="nil"/>
              </w:pBdr>
              <w:tabs>
                <w:tab w:val="left" w:pos="169"/>
              </w:tabs>
              <w:spacing w:before="9" w:line="199" w:lineRule="auto"/>
              <w:ind w:right="36"/>
              <w:rPr>
                <w:color w:val="808080"/>
                <w:sz w:val="16"/>
                <w:szCs w:val="16"/>
                <w:lang w:val="en-GB"/>
              </w:rPr>
            </w:pPr>
            <w:r w:rsidRPr="00F915A7">
              <w:rPr>
                <w:color w:val="808080"/>
                <w:sz w:val="16"/>
                <w:szCs w:val="16"/>
                <w:lang w:val="en-GB"/>
              </w:rPr>
              <w:t>3. Methodology</w:t>
            </w:r>
          </w:p>
          <w:p w14:paraId="16C21A28" w14:textId="77777777" w:rsidR="00466A15" w:rsidRPr="00F915A7" w:rsidRDefault="00000000">
            <w:pPr>
              <w:widowControl/>
              <w:pBdr>
                <w:top w:val="nil"/>
                <w:left w:val="nil"/>
                <w:bottom w:val="nil"/>
                <w:right w:val="nil"/>
                <w:between w:val="nil"/>
              </w:pBdr>
              <w:tabs>
                <w:tab w:val="left" w:pos="169"/>
              </w:tabs>
              <w:spacing w:before="9" w:line="199" w:lineRule="auto"/>
              <w:ind w:right="36"/>
              <w:rPr>
                <w:color w:val="808080"/>
                <w:sz w:val="16"/>
                <w:szCs w:val="16"/>
                <w:lang w:val="en-GB"/>
              </w:rPr>
            </w:pPr>
            <w:r w:rsidRPr="00F915A7">
              <w:rPr>
                <w:color w:val="808080"/>
                <w:sz w:val="16"/>
                <w:szCs w:val="16"/>
                <w:lang w:val="en-GB"/>
              </w:rPr>
              <w:t>4. Analysis and results</w:t>
            </w:r>
          </w:p>
          <w:p w14:paraId="2F7221B0" w14:textId="77777777" w:rsidR="00466A15" w:rsidRPr="00F915A7" w:rsidRDefault="00000000">
            <w:pPr>
              <w:widowControl/>
              <w:pBdr>
                <w:top w:val="nil"/>
                <w:left w:val="nil"/>
                <w:bottom w:val="nil"/>
                <w:right w:val="nil"/>
                <w:between w:val="nil"/>
              </w:pBdr>
              <w:tabs>
                <w:tab w:val="left" w:pos="169"/>
              </w:tabs>
              <w:spacing w:before="9" w:line="199" w:lineRule="auto"/>
              <w:ind w:left="27" w:right="36"/>
              <w:rPr>
                <w:color w:val="808080"/>
                <w:sz w:val="16"/>
                <w:szCs w:val="16"/>
                <w:lang w:val="en-GB"/>
              </w:rPr>
            </w:pPr>
            <w:r w:rsidRPr="00F915A7">
              <w:rPr>
                <w:color w:val="808080"/>
                <w:sz w:val="16"/>
                <w:szCs w:val="16"/>
                <w:lang w:val="en-GB"/>
              </w:rPr>
              <w:t>5. Conclusions</w:t>
            </w:r>
          </w:p>
          <w:p w14:paraId="48831668" w14:textId="77777777" w:rsidR="00466A15" w:rsidRPr="00F915A7" w:rsidRDefault="00000000">
            <w:pPr>
              <w:widowControl/>
              <w:pBdr>
                <w:top w:val="nil"/>
                <w:left w:val="nil"/>
                <w:bottom w:val="nil"/>
                <w:right w:val="nil"/>
                <w:between w:val="nil"/>
              </w:pBdr>
              <w:tabs>
                <w:tab w:val="left" w:pos="169"/>
              </w:tabs>
              <w:spacing w:before="9" w:line="199" w:lineRule="auto"/>
              <w:ind w:left="169" w:right="36"/>
              <w:rPr>
                <w:color w:val="808080"/>
                <w:sz w:val="16"/>
                <w:szCs w:val="16"/>
                <w:lang w:val="en-GB"/>
              </w:rPr>
            </w:pPr>
            <w:r w:rsidRPr="00F915A7">
              <w:rPr>
                <w:color w:val="808080"/>
                <w:sz w:val="16"/>
                <w:szCs w:val="16"/>
                <w:lang w:val="en-GB"/>
              </w:rPr>
              <w:t>5.1. Limitations of the study</w:t>
            </w:r>
          </w:p>
          <w:p w14:paraId="67FF79D5" w14:textId="77777777" w:rsidR="00466A15" w:rsidRPr="00F915A7" w:rsidRDefault="00000000">
            <w:pPr>
              <w:widowControl/>
              <w:pBdr>
                <w:top w:val="nil"/>
                <w:left w:val="nil"/>
                <w:bottom w:val="nil"/>
                <w:right w:val="nil"/>
                <w:between w:val="nil"/>
              </w:pBdr>
              <w:tabs>
                <w:tab w:val="left" w:pos="169"/>
              </w:tabs>
              <w:spacing w:before="9" w:line="199" w:lineRule="auto"/>
              <w:ind w:left="169" w:right="36"/>
              <w:rPr>
                <w:color w:val="808080"/>
                <w:sz w:val="16"/>
                <w:szCs w:val="16"/>
                <w:lang w:val="en-GB"/>
              </w:rPr>
            </w:pPr>
            <w:r w:rsidRPr="00F915A7">
              <w:rPr>
                <w:color w:val="808080"/>
                <w:sz w:val="16"/>
                <w:szCs w:val="16"/>
                <w:lang w:val="en-GB"/>
              </w:rPr>
              <w:t>5.2. Future lines of research</w:t>
            </w:r>
          </w:p>
          <w:p w14:paraId="4EF1C95A" w14:textId="77777777" w:rsidR="00466A15" w:rsidRPr="00F915A7" w:rsidRDefault="00000000">
            <w:pPr>
              <w:widowControl/>
              <w:pBdr>
                <w:top w:val="nil"/>
                <w:left w:val="nil"/>
                <w:bottom w:val="nil"/>
                <w:right w:val="nil"/>
                <w:between w:val="nil"/>
              </w:pBdr>
              <w:tabs>
                <w:tab w:val="left" w:pos="169"/>
              </w:tabs>
              <w:spacing w:before="9" w:line="199" w:lineRule="auto"/>
              <w:ind w:left="27" w:right="36"/>
              <w:rPr>
                <w:color w:val="808080"/>
                <w:sz w:val="16"/>
                <w:szCs w:val="16"/>
                <w:lang w:val="en-GB"/>
              </w:rPr>
            </w:pPr>
            <w:r w:rsidRPr="00F915A7">
              <w:rPr>
                <w:color w:val="808080"/>
                <w:sz w:val="16"/>
                <w:szCs w:val="16"/>
                <w:lang w:val="en-GB"/>
              </w:rPr>
              <w:t>6. References</w:t>
            </w:r>
          </w:p>
        </w:tc>
        <w:tc>
          <w:tcPr>
            <w:tcW w:w="4678" w:type="dxa"/>
          </w:tcPr>
          <w:p w14:paraId="2CC66DE5" w14:textId="77777777" w:rsidR="00466A15" w:rsidRPr="00F915A7" w:rsidRDefault="00000000">
            <w:pPr>
              <w:widowControl/>
              <w:spacing w:line="204" w:lineRule="auto"/>
              <w:jc w:val="both"/>
              <w:rPr>
                <w:sz w:val="18"/>
                <w:szCs w:val="18"/>
                <w:lang w:val="en-GB"/>
              </w:rPr>
            </w:pPr>
            <w:r w:rsidRPr="00F915A7">
              <w:rPr>
                <w:sz w:val="18"/>
                <w:szCs w:val="18"/>
                <w:lang w:val="en-GB"/>
              </w:rPr>
              <w:t>This article examines the economic impact of advertising on streaming platforms and its connection to the shift from SVOD to AVOD/HVOD models. Its aim is to compare how Netflix, Prime Video, Disney+ and HBO Max redesign monetisation through ad-supported tiers and what this implies for revenues, pricing and competitive positioning. Using a qualitative design grounded in documentary analysis and a comparative case-study approach, the study triangulates corporate reports (shareholder letters and earnings releases), industry documentation and peer-reviewed literature for 2022–H1 2025. Findings indicate (</w:t>
            </w:r>
            <w:proofErr w:type="spellStart"/>
            <w:r w:rsidRPr="00F915A7">
              <w:rPr>
                <w:sz w:val="18"/>
                <w:szCs w:val="18"/>
                <w:lang w:val="en-GB"/>
              </w:rPr>
              <w:t>i</w:t>
            </w:r>
            <w:proofErr w:type="spellEnd"/>
            <w:r w:rsidRPr="00F915A7">
              <w:rPr>
                <w:sz w:val="18"/>
                <w:szCs w:val="18"/>
                <w:lang w:val="en-GB"/>
              </w:rPr>
              <w:t>) growing strategic convergence around ad tiers as a lever for growth and price discrimination; (ii) competition shifting from subscriber acquisition alone to ARPU optimisation and revenue diversification; and (iii) differentiation based on exclusive content, bundling, live events and brand building. The article concludes that hybrid models are becoming an industry standard, while medium-term sustainability hinges on balancing ad load, user tolerance and targeting/measurement capabilities.</w:t>
            </w:r>
          </w:p>
        </w:tc>
      </w:tr>
    </w:tbl>
    <w:p w14:paraId="70C0E7A6" w14:textId="322DBFFD" w:rsidR="00466A15" w:rsidRPr="00F915A7" w:rsidRDefault="00F915A7">
      <w:pPr>
        <w:widowControl/>
        <w:spacing w:before="177" w:line="204" w:lineRule="auto"/>
        <w:ind w:left="660"/>
        <w:jc w:val="both"/>
        <w:rPr>
          <w:b/>
          <w:bCs/>
          <w:sz w:val="18"/>
          <w:szCs w:val="18"/>
          <w:lang w:val="en-GB"/>
        </w:rPr>
      </w:pPr>
      <w:r>
        <w:rPr>
          <w:b/>
          <w:bCs/>
          <w:sz w:val="18"/>
          <w:szCs w:val="18"/>
          <w:lang w:val="en-GB"/>
        </w:rPr>
        <w:t>Keywords</w:t>
      </w:r>
    </w:p>
    <w:p w14:paraId="3383CEF4" w14:textId="77777777" w:rsidR="00466A15" w:rsidRPr="00F915A7" w:rsidRDefault="00000000">
      <w:pPr>
        <w:widowControl/>
        <w:spacing w:before="9" w:line="199" w:lineRule="auto"/>
        <w:ind w:left="660" w:right="134"/>
        <w:jc w:val="both"/>
        <w:rPr>
          <w:sz w:val="18"/>
          <w:szCs w:val="18"/>
          <w:lang w:val="en-GB"/>
        </w:rPr>
        <w:sectPr w:rsidR="00466A15" w:rsidRPr="00F915A7">
          <w:headerReference w:type="default" r:id="rId15"/>
          <w:footerReference w:type="default" r:id="rId16"/>
          <w:pgSz w:w="9640" w:h="13610"/>
          <w:pgMar w:top="1480" w:right="1000" w:bottom="2120" w:left="1040" w:header="1148" w:footer="1931" w:gutter="0"/>
          <w:pgNumType w:start="1"/>
          <w:cols w:space="720"/>
        </w:sectPr>
      </w:pPr>
      <w:r w:rsidRPr="00F915A7">
        <w:rPr>
          <w:sz w:val="18"/>
          <w:szCs w:val="18"/>
          <w:lang w:val="en-GB"/>
        </w:rPr>
        <w:t xml:space="preserve">“Advertising”; “Business models”; “Consumer </w:t>
      </w:r>
      <w:proofErr w:type="spellStart"/>
      <w:r w:rsidRPr="00F915A7">
        <w:rPr>
          <w:sz w:val="18"/>
          <w:szCs w:val="18"/>
          <w:lang w:val="en-GB"/>
        </w:rPr>
        <w:t>behavior</w:t>
      </w:r>
      <w:proofErr w:type="spellEnd"/>
      <w:r w:rsidRPr="00F915A7">
        <w:rPr>
          <w:sz w:val="18"/>
          <w:szCs w:val="18"/>
          <w:lang w:val="en-GB"/>
        </w:rPr>
        <w:t>”; “Digital economy”; “Mass media”;  “On-demand video”.</w:t>
      </w:r>
    </w:p>
    <w:p w14:paraId="62A74606" w14:textId="77777777" w:rsidR="00466A15" w:rsidRPr="00F915A7" w:rsidRDefault="00000000">
      <w:pPr>
        <w:pStyle w:val="Ttulo2"/>
        <w:rPr>
          <w:lang w:val="en-GB"/>
        </w:rPr>
      </w:pPr>
      <w:bookmarkStart w:id="0" w:name="_heading=h.6j09ypr7h16z" w:colFirst="0" w:colLast="0"/>
      <w:bookmarkEnd w:id="0"/>
      <w:r w:rsidRPr="00F915A7">
        <w:rPr>
          <w:lang w:val="en-GB"/>
        </w:rPr>
        <w:lastRenderedPageBreak/>
        <w:t>1. Introduction</w:t>
      </w:r>
    </w:p>
    <w:p w14:paraId="463636C9" w14:textId="77777777" w:rsidR="00466A15" w:rsidRPr="00F915A7" w:rsidRDefault="00466A15">
      <w:pPr>
        <w:widowControl/>
        <w:pBdr>
          <w:top w:val="nil"/>
          <w:left w:val="nil"/>
          <w:bottom w:val="nil"/>
          <w:right w:val="nil"/>
          <w:between w:val="nil"/>
        </w:pBdr>
        <w:spacing w:after="80"/>
        <w:ind w:left="567"/>
        <w:rPr>
          <w:color w:val="000000"/>
          <w:sz w:val="20"/>
          <w:szCs w:val="20"/>
          <w:lang w:val="en-GB"/>
        </w:rPr>
      </w:pPr>
    </w:p>
    <w:p w14:paraId="28E0985C" w14:textId="7E2818A9"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 xml:space="preserve">The digital entertainment industry has undergone a profound transformation in recent decades, </w:t>
      </w:r>
      <w:r w:rsidR="00750BA0" w:rsidRPr="00750BA0">
        <w:rPr>
          <w:color w:val="231F20"/>
          <w:sz w:val="24"/>
          <w:szCs w:val="24"/>
          <w:lang w:val="en-GB"/>
        </w:rPr>
        <w:t>becoming a central mode of audiovisual consumption</w:t>
      </w:r>
      <w:r w:rsidRPr="00F915A7">
        <w:rPr>
          <w:color w:val="231F20"/>
          <w:sz w:val="24"/>
          <w:szCs w:val="24"/>
          <w:lang w:val="en-GB"/>
        </w:rPr>
        <w:t>. During its expansion phase, the SVOD (subscription video on demand) model helped generaliz</w:t>
      </w:r>
      <w:r w:rsidR="00750BA0">
        <w:rPr>
          <w:color w:val="231F20"/>
          <w:sz w:val="24"/>
          <w:szCs w:val="24"/>
          <w:lang w:val="en-GB"/>
        </w:rPr>
        <w:t>ing</w:t>
      </w:r>
      <w:r w:rsidRPr="00F915A7">
        <w:rPr>
          <w:color w:val="231F20"/>
          <w:sz w:val="24"/>
          <w:szCs w:val="24"/>
          <w:lang w:val="en-GB"/>
        </w:rPr>
        <w:t xml:space="preserve"> on-demand access to extensive </w:t>
      </w:r>
      <w:proofErr w:type="spellStart"/>
      <w:r w:rsidRPr="00F915A7">
        <w:rPr>
          <w:color w:val="231F20"/>
          <w:sz w:val="24"/>
          <w:szCs w:val="24"/>
          <w:lang w:val="en-GB"/>
        </w:rPr>
        <w:t>catalogs</w:t>
      </w:r>
      <w:proofErr w:type="spellEnd"/>
      <w:r w:rsidRPr="00F915A7">
        <w:rPr>
          <w:color w:val="231F20"/>
          <w:sz w:val="24"/>
          <w:szCs w:val="24"/>
          <w:lang w:val="en-GB"/>
        </w:rPr>
        <w:t xml:space="preserve"> and normaliz</w:t>
      </w:r>
      <w:r w:rsidR="00750BA0">
        <w:rPr>
          <w:color w:val="231F20"/>
          <w:sz w:val="24"/>
          <w:szCs w:val="24"/>
          <w:lang w:val="en-GB"/>
        </w:rPr>
        <w:t>ing</w:t>
      </w:r>
      <w:r w:rsidRPr="00F915A7">
        <w:rPr>
          <w:color w:val="231F20"/>
          <w:sz w:val="24"/>
          <w:szCs w:val="24"/>
          <w:lang w:val="en-GB"/>
        </w:rPr>
        <w:t xml:space="preserve"> intensive consumption practices such as binge-watching. However, as the market reached maturity, competitive dynamics and the pressure for profitability have reconfigured the economic incentives of SVOD: net subscription growth tends to decelerate, content costs remain high, and there is an increasing need to diversify revenue beyond monthly fees.</w:t>
      </w:r>
    </w:p>
    <w:p w14:paraId="4B41C502"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352FB16C"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This phenomenon, exacerbated by growing competition and constant pressure on profit margins, has prompted streaming giants to reconsider their monetization strategies, marking a fundamental transition toward hybrid models that incorporate advertising: AVOD (Advertising Video On Demand) and HVOD (Hybrid Video On Demand).</w:t>
      </w:r>
    </w:p>
    <w:p w14:paraId="01B651F5"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4A72CFB0" w14:textId="77777777" w:rsidR="00466A15" w:rsidRPr="00F915A7" w:rsidRDefault="00000000">
      <w:pPr>
        <w:widowControl/>
        <w:pBdr>
          <w:top w:val="nil"/>
          <w:left w:val="nil"/>
          <w:bottom w:val="nil"/>
          <w:right w:val="nil"/>
          <w:between w:val="nil"/>
        </w:pBdr>
        <w:spacing w:after="80"/>
        <w:ind w:left="426" w:right="370"/>
        <w:jc w:val="both"/>
        <w:rPr>
          <w:i/>
          <w:iCs/>
          <w:color w:val="9A0203"/>
          <w:sz w:val="24"/>
          <w:szCs w:val="24"/>
          <w:lang w:val="en-GB"/>
        </w:rPr>
      </w:pPr>
      <w:r w:rsidRPr="00F915A7">
        <w:rPr>
          <w:i/>
          <w:iCs/>
          <w:color w:val="9A0203"/>
          <w:sz w:val="24"/>
          <w:szCs w:val="24"/>
          <w:lang w:val="en-GB"/>
        </w:rPr>
        <w:t>1.1. Context and evolution of streaming</w:t>
      </w:r>
    </w:p>
    <w:p w14:paraId="319668CF"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 xml:space="preserve">The genesis of streaming dates back to the promise of unlimited access to a vast </w:t>
      </w:r>
      <w:proofErr w:type="spellStart"/>
      <w:r w:rsidRPr="00F915A7">
        <w:rPr>
          <w:color w:val="231F20"/>
          <w:sz w:val="24"/>
          <w:szCs w:val="24"/>
          <w:lang w:val="en-GB"/>
        </w:rPr>
        <w:t>catalog</w:t>
      </w:r>
      <w:proofErr w:type="spellEnd"/>
      <w:r w:rsidRPr="00F915A7">
        <w:rPr>
          <w:color w:val="231F20"/>
          <w:sz w:val="24"/>
          <w:szCs w:val="24"/>
          <w:lang w:val="en-GB"/>
        </w:rPr>
        <w:t xml:space="preserve"> of content, freeing consumers from the constraints of traditional linear programming. This shift was driven by improvements in internet infrastructure and the technological capacity to deliver high-quality video on demand. Netflix, with its SVOD model, was the flagship of this first wave, building a base of millions of subscribers worldwide and setting a new standard in the distribution of audiovisual content. Other players such as Prime Video, Disney+, and HBO Max followed suit, investing heavily in original content and licensing to attract and retain audiences.</w:t>
      </w:r>
    </w:p>
    <w:p w14:paraId="723F9DD2"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0D966C37"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The COVID-19 pandemic acted as an unexpected catalyst for the industry, accelerating the adoption of streaming services as people sought home entertainment, which translated into a substantial increase in the number of subscriptions.</w:t>
      </w:r>
    </w:p>
    <w:p w14:paraId="5EC2353F"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5B81A5B9"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lastRenderedPageBreak/>
        <w:t xml:space="preserve">For the sake of terminological consistency, HBO Max is used to refer to the Warner Bros. Discovery platform. </w:t>
      </w:r>
    </w:p>
    <w:p w14:paraId="17BFA35E"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2DEB1BF9" w14:textId="77777777" w:rsidR="00466A15" w:rsidRPr="00F915A7" w:rsidRDefault="00000000">
      <w:pPr>
        <w:widowControl/>
        <w:pBdr>
          <w:top w:val="nil"/>
          <w:left w:val="nil"/>
          <w:bottom w:val="nil"/>
          <w:right w:val="nil"/>
          <w:between w:val="nil"/>
        </w:pBdr>
        <w:spacing w:after="80"/>
        <w:ind w:left="426" w:right="370"/>
        <w:jc w:val="both"/>
        <w:rPr>
          <w:i/>
          <w:iCs/>
          <w:color w:val="9A0203"/>
          <w:sz w:val="24"/>
          <w:szCs w:val="24"/>
          <w:lang w:val="en-GB"/>
        </w:rPr>
      </w:pPr>
      <w:r w:rsidRPr="00F915A7">
        <w:rPr>
          <w:i/>
          <w:iCs/>
          <w:color w:val="9A0203"/>
          <w:sz w:val="24"/>
          <w:szCs w:val="24"/>
          <w:lang w:val="en-GB"/>
        </w:rPr>
        <w:t>1.2. The SVOD paradigm and its limitations</w:t>
      </w:r>
    </w:p>
    <w:p w14:paraId="2F9CFC98"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The SVOD business model is based on recurring revenue from fixed subscription fees, offering an ad-free experience in exchange. Although this value proposition was highly attractive in its early stages, as it matures within the natural cycle of a consumer service, it is facing growing limitations.</w:t>
      </w:r>
    </w:p>
    <w:p w14:paraId="34932498"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0BEF98BD"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Firstly, the SVOD market has reached a saturation point in many key regions. This is reflected in a slowdown in subscriber growth and an increase in the "churn rate" of 23% between 2021 and 2024. "Subscription fatigue" has become a notable phenomenon, as 60% of consumers feel overwhelmed by the number of available platforms and the cumulative costs of multiple subscriptions, which rose by an average of 25% in 2023 (</w:t>
      </w:r>
      <w:proofErr w:type="spellStart"/>
      <w:r w:rsidRPr="00F915A7">
        <w:rPr>
          <w:color w:val="231F20"/>
          <w:sz w:val="24"/>
          <w:szCs w:val="24"/>
          <w:lang w:val="en-GB"/>
        </w:rPr>
        <w:t>CivicScience</w:t>
      </w:r>
      <w:proofErr w:type="spellEnd"/>
      <w:r w:rsidRPr="00F915A7">
        <w:rPr>
          <w:color w:val="231F20"/>
          <w:sz w:val="24"/>
          <w:szCs w:val="24"/>
          <w:lang w:val="en-GB"/>
        </w:rPr>
        <w:t xml:space="preserve">, 2023; Simon-Kucher &amp; Partners, 2024; </w:t>
      </w:r>
      <w:proofErr w:type="spellStart"/>
      <w:r w:rsidRPr="00F915A7">
        <w:rPr>
          <w:color w:val="231F20"/>
          <w:sz w:val="24"/>
          <w:szCs w:val="24"/>
          <w:lang w:val="en-GB"/>
        </w:rPr>
        <w:t>ThinkBRG</w:t>
      </w:r>
      <w:proofErr w:type="spellEnd"/>
      <w:r w:rsidRPr="00F915A7">
        <w:rPr>
          <w:color w:val="231F20"/>
          <w:sz w:val="24"/>
          <w:szCs w:val="24"/>
          <w:lang w:val="en-GB"/>
        </w:rPr>
        <w:t>, 2024).</w:t>
      </w:r>
    </w:p>
    <w:p w14:paraId="01C34303"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3AEE6DFB"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Furthermore, production costs for high-quality original content have skyrocketed, with platforms investing billions of dollars in creating exclusive series and films to attract and retain users. Hesmondhalgh (2019) warns that cultural industries take on significant risks due to high production costs and the unpredictability of demand. This is driving platforms to seek other revenue streams.</w:t>
      </w:r>
    </w:p>
    <w:p w14:paraId="67FE103F"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18C23E78"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The need for profitability in an environment of massive investment and fierce competition has called into question the long-term sustainability of the pure SVOD model. For example, in 2022, Netflix experienced a loss of over one million subscribers and a 40% drop in its stock market value—a clear sign of market pressure (García-Chamizo and Miranda, 2022).</w:t>
      </w:r>
    </w:p>
    <w:p w14:paraId="6EE3458D" w14:textId="77777777" w:rsidR="00466A15" w:rsidRPr="00F915A7" w:rsidRDefault="00466A15">
      <w:pPr>
        <w:widowControl/>
        <w:pBdr>
          <w:top w:val="nil"/>
          <w:left w:val="nil"/>
          <w:bottom w:val="nil"/>
          <w:right w:val="nil"/>
          <w:between w:val="nil"/>
        </w:pBdr>
        <w:spacing w:after="80"/>
        <w:ind w:left="426" w:right="370"/>
        <w:jc w:val="both"/>
        <w:rPr>
          <w:i/>
          <w:iCs/>
          <w:color w:val="9A0203"/>
          <w:sz w:val="24"/>
          <w:szCs w:val="24"/>
          <w:lang w:val="en-GB"/>
        </w:rPr>
      </w:pPr>
    </w:p>
    <w:p w14:paraId="1FF028C3" w14:textId="77777777" w:rsidR="00466A15" w:rsidRPr="00F915A7" w:rsidRDefault="00000000">
      <w:pPr>
        <w:widowControl/>
        <w:pBdr>
          <w:top w:val="nil"/>
          <w:left w:val="nil"/>
          <w:bottom w:val="nil"/>
          <w:right w:val="nil"/>
          <w:between w:val="nil"/>
        </w:pBdr>
        <w:spacing w:after="80"/>
        <w:ind w:left="426" w:right="370"/>
        <w:jc w:val="both"/>
        <w:rPr>
          <w:i/>
          <w:iCs/>
          <w:color w:val="9A0203"/>
          <w:sz w:val="24"/>
          <w:szCs w:val="24"/>
          <w:lang w:val="en-GB"/>
        </w:rPr>
      </w:pPr>
      <w:r w:rsidRPr="00F915A7">
        <w:rPr>
          <w:i/>
          <w:iCs/>
          <w:color w:val="9A0203"/>
          <w:sz w:val="24"/>
          <w:szCs w:val="24"/>
          <w:lang w:val="en-GB"/>
        </w:rPr>
        <w:t>1.3. The Transition toward AVOD and HVOD</w:t>
      </w:r>
    </w:p>
    <w:p w14:paraId="5B58821A"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 xml:space="preserve">According to </w:t>
      </w:r>
      <w:proofErr w:type="spellStart"/>
      <w:r w:rsidRPr="00F915A7">
        <w:rPr>
          <w:color w:val="231F20"/>
          <w:sz w:val="24"/>
          <w:szCs w:val="24"/>
          <w:lang w:val="en-GB"/>
        </w:rPr>
        <w:t>ThinkBRG</w:t>
      </w:r>
      <w:proofErr w:type="spellEnd"/>
      <w:r w:rsidRPr="00F915A7">
        <w:rPr>
          <w:color w:val="231F20"/>
          <w:sz w:val="24"/>
          <w:szCs w:val="24"/>
          <w:lang w:val="en-GB"/>
        </w:rPr>
        <w:t xml:space="preserve"> (2024), "more than 40% of consumers have switched to an ad-supported plan." The AVOD model is based on offering content for free or at a reduced price in exchange for viewing advertisements, while HVOD combines a subscription with the inclusion of pre-roll, mid-roll, and post-roll ad breaks at a lower cost than an ad-free </w:t>
      </w:r>
      <w:r w:rsidRPr="00F915A7">
        <w:rPr>
          <w:color w:val="231F20"/>
          <w:sz w:val="24"/>
          <w:szCs w:val="24"/>
          <w:lang w:val="en-GB"/>
        </w:rPr>
        <w:lastRenderedPageBreak/>
        <w:t>subscription. This shift represents a direct response to the need to diversify revenue and attract a more price-sensitive consumer segment.</w:t>
      </w:r>
    </w:p>
    <w:p w14:paraId="6D84014D"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7C32C95A"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Netflix, which for years maintained an ad-free SVOD positioning, introduced its "Basic with Ads" plan on November 10, 2022, incorporating a pricing tier with ad inventory as a mechanism for segmentation and revenue diversification. In Spain, the platform retired the Basic Plan (ad-free) for certain users starting in September 2025, shifting demand toward ad-supported alternatives or higher-priced plans with the goal of simplifying the offering and strengthening the hybrid model as a revenue source (</w:t>
      </w:r>
      <w:proofErr w:type="spellStart"/>
      <w:r w:rsidRPr="00F915A7">
        <w:rPr>
          <w:color w:val="231F20"/>
          <w:sz w:val="24"/>
          <w:szCs w:val="24"/>
          <w:lang w:val="en-GB"/>
        </w:rPr>
        <w:t>Redacción</w:t>
      </w:r>
      <w:proofErr w:type="spellEnd"/>
      <w:r w:rsidRPr="00F915A7">
        <w:rPr>
          <w:color w:val="231F20"/>
          <w:sz w:val="24"/>
          <w:szCs w:val="24"/>
          <w:lang w:val="en-GB"/>
        </w:rPr>
        <w:t xml:space="preserve"> </w:t>
      </w:r>
      <w:proofErr w:type="spellStart"/>
      <w:r w:rsidRPr="00F915A7">
        <w:rPr>
          <w:color w:val="231F20"/>
          <w:sz w:val="24"/>
          <w:szCs w:val="24"/>
          <w:lang w:val="en-GB"/>
        </w:rPr>
        <w:t>PRNoticias</w:t>
      </w:r>
      <w:proofErr w:type="spellEnd"/>
      <w:r w:rsidRPr="00F915A7">
        <w:rPr>
          <w:color w:val="231F20"/>
          <w:sz w:val="24"/>
          <w:szCs w:val="24"/>
          <w:lang w:val="en-GB"/>
        </w:rPr>
        <w:t>, 2025).</w:t>
      </w:r>
    </w:p>
    <w:p w14:paraId="43636E91"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589587AB"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Prices for the observation period (2025) of ad-supported streaming platforms in Spain show a clear commitment to accessible models. Prime Video is included in the Amazon Prime subscription, which costs €4.99/month or €49.90/year, with an option to remove ads for an additional €1.99 per month. Disney+ offers its ad-supported plan for €5.99/month, while HBO Max maintains its basic ad-supported plan at €6.99/month (</w:t>
      </w:r>
      <w:proofErr w:type="spellStart"/>
      <w:r w:rsidRPr="00F915A7">
        <w:rPr>
          <w:color w:val="231F20"/>
          <w:sz w:val="24"/>
          <w:szCs w:val="24"/>
          <w:lang w:val="en-GB"/>
        </w:rPr>
        <w:t>Redacción</w:t>
      </w:r>
      <w:proofErr w:type="spellEnd"/>
      <w:r w:rsidRPr="00F915A7">
        <w:rPr>
          <w:color w:val="231F20"/>
          <w:sz w:val="24"/>
          <w:szCs w:val="24"/>
          <w:lang w:val="en-GB"/>
        </w:rPr>
        <w:t xml:space="preserve"> </w:t>
      </w:r>
      <w:proofErr w:type="spellStart"/>
      <w:r w:rsidRPr="00F915A7">
        <w:rPr>
          <w:i/>
          <w:iCs/>
          <w:color w:val="231F20"/>
          <w:sz w:val="24"/>
          <w:szCs w:val="24"/>
          <w:lang w:val="en-GB"/>
        </w:rPr>
        <w:t>PRNoticias</w:t>
      </w:r>
      <w:proofErr w:type="spellEnd"/>
      <w:r w:rsidRPr="00F915A7">
        <w:rPr>
          <w:color w:val="231F20"/>
          <w:sz w:val="24"/>
          <w:szCs w:val="24"/>
          <w:lang w:val="en-GB"/>
        </w:rPr>
        <w:t xml:space="preserve">, 2025; Amazon Ads, 2024; </w:t>
      </w:r>
      <w:r w:rsidRPr="00F915A7">
        <w:rPr>
          <w:i/>
          <w:iCs/>
          <w:color w:val="231F20"/>
          <w:sz w:val="24"/>
          <w:szCs w:val="24"/>
          <w:lang w:val="en-GB"/>
        </w:rPr>
        <w:t>Europa Press</w:t>
      </w:r>
      <w:r w:rsidRPr="00F915A7">
        <w:rPr>
          <w:color w:val="231F20"/>
          <w:sz w:val="24"/>
          <w:szCs w:val="24"/>
          <w:lang w:val="en-GB"/>
        </w:rPr>
        <w:t>, 2023; HBO Max España, 2025).</w:t>
      </w:r>
    </w:p>
    <w:p w14:paraId="7B828089"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588A0AAB"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In Table 1, it can be observed that the price difference between the most affordable plans of the four major platforms in Spain fluctuates by barely two euros in monthly payments.</w:t>
      </w:r>
    </w:p>
    <w:p w14:paraId="42C8288C"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13C86851"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0A569CA8"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37C49978"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0C407287"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1F766808"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1C81BD38"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3844DDAB"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44F8B82C"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14BE3BAA"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6103ADC4"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652E1D34"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35234E66"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lang w:val="en-GB"/>
        </w:rPr>
        <w:t>Table 1. Ad-supported plans on streaming platforms in Spain, 2025</w:t>
      </w:r>
    </w:p>
    <w:tbl>
      <w:tblPr>
        <w:tblStyle w:val="a4"/>
        <w:tblW w:w="7585" w:type="dxa"/>
        <w:tblInd w:w="0" w:type="dxa"/>
        <w:tblLayout w:type="fixed"/>
        <w:tblLook w:val="0400" w:firstRow="0" w:lastRow="0" w:firstColumn="0" w:lastColumn="0" w:noHBand="0" w:noVBand="1"/>
      </w:tblPr>
      <w:tblGrid>
        <w:gridCol w:w="1722"/>
        <w:gridCol w:w="2101"/>
        <w:gridCol w:w="1559"/>
        <w:gridCol w:w="2203"/>
      </w:tblGrid>
      <w:tr w:rsidR="00466A15" w14:paraId="1446FF17" w14:textId="77777777">
        <w:trPr>
          <w:trHeight w:val="510"/>
        </w:trPr>
        <w:tc>
          <w:tcPr>
            <w:tcW w:w="1722" w:type="dxa"/>
            <w:tcBorders>
              <w:top w:val="single" w:sz="4" w:space="0" w:color="000000"/>
              <w:left w:val="single" w:sz="4" w:space="0" w:color="000000"/>
              <w:bottom w:val="single" w:sz="12" w:space="0" w:color="000000"/>
              <w:right w:val="single" w:sz="4" w:space="0" w:color="000000"/>
            </w:tcBorders>
            <w:shd w:val="clear" w:color="auto" w:fill="767070"/>
          </w:tcPr>
          <w:p w14:paraId="26837839" w14:textId="77777777" w:rsidR="00466A15" w:rsidRPr="00F915A7" w:rsidRDefault="00466A15">
            <w:pPr>
              <w:pBdr>
                <w:top w:val="nil"/>
                <w:left w:val="nil"/>
                <w:bottom w:val="nil"/>
                <w:right w:val="nil"/>
                <w:between w:val="nil"/>
              </w:pBdr>
              <w:spacing w:line="276" w:lineRule="auto"/>
              <w:rPr>
                <w:color w:val="231F20"/>
                <w:sz w:val="24"/>
                <w:szCs w:val="24"/>
                <w:lang w:val="en-GB"/>
              </w:rPr>
            </w:pPr>
          </w:p>
          <w:tbl>
            <w:tblPr>
              <w:tblStyle w:val="a5"/>
              <w:tblW w:w="1034" w:type="dxa"/>
              <w:tblInd w:w="8" w:type="dxa"/>
              <w:tblLayout w:type="fixed"/>
              <w:tblLook w:val="0400" w:firstRow="0" w:lastRow="0" w:firstColumn="0" w:lastColumn="0" w:noHBand="0" w:noVBand="1"/>
            </w:tblPr>
            <w:tblGrid>
              <w:gridCol w:w="1034"/>
            </w:tblGrid>
            <w:tr w:rsidR="00466A15" w14:paraId="6EB0D0A8" w14:textId="77777777">
              <w:tc>
                <w:tcPr>
                  <w:tcW w:w="1034" w:type="dxa"/>
                </w:tcPr>
                <w:p w14:paraId="1CA7DC08" w14:textId="77777777" w:rsidR="00466A15" w:rsidRDefault="00000000">
                  <w:pPr>
                    <w:jc w:val="right"/>
                    <w:rPr>
                      <w:rFonts w:ascii="Arial" w:eastAsia="Arial" w:hAnsi="Arial" w:cs="Arial"/>
                    </w:rPr>
                  </w:pPr>
                  <w:proofErr w:type="spellStart"/>
                  <w:r>
                    <w:t>Platform</w:t>
                  </w:r>
                  <w:proofErr w:type="spellEnd"/>
                </w:p>
              </w:tc>
            </w:tr>
          </w:tbl>
          <w:p w14:paraId="1041AE40" w14:textId="77777777" w:rsidR="00466A15" w:rsidRDefault="00466A15">
            <w:pPr>
              <w:widowControl/>
              <w:spacing w:after="80"/>
              <w:ind w:left="426" w:right="370"/>
              <w:jc w:val="both"/>
              <w:rPr>
                <w:color w:val="231F20"/>
                <w:sz w:val="24"/>
                <w:szCs w:val="24"/>
              </w:rPr>
            </w:pPr>
          </w:p>
        </w:tc>
        <w:tc>
          <w:tcPr>
            <w:tcW w:w="2101" w:type="dxa"/>
            <w:tcBorders>
              <w:top w:val="single" w:sz="4" w:space="0" w:color="000000"/>
              <w:left w:val="single" w:sz="4" w:space="0" w:color="000000"/>
              <w:bottom w:val="single" w:sz="12" w:space="0" w:color="000000"/>
              <w:right w:val="single" w:sz="4" w:space="0" w:color="000000"/>
            </w:tcBorders>
            <w:shd w:val="clear" w:color="auto" w:fill="767070"/>
          </w:tcPr>
          <w:p w14:paraId="42C69269" w14:textId="77777777" w:rsidR="00466A15" w:rsidRDefault="00000000">
            <w:pPr>
              <w:widowControl/>
              <w:spacing w:after="80"/>
              <w:ind w:left="426" w:right="370"/>
              <w:jc w:val="both"/>
              <w:rPr>
                <w:color w:val="231F20"/>
                <w:sz w:val="24"/>
                <w:szCs w:val="24"/>
              </w:rPr>
            </w:pPr>
            <w:r>
              <w:t>Plan Name</w:t>
            </w:r>
          </w:p>
        </w:tc>
        <w:tc>
          <w:tcPr>
            <w:tcW w:w="1559" w:type="dxa"/>
            <w:tcBorders>
              <w:top w:val="single" w:sz="4" w:space="0" w:color="000000"/>
              <w:left w:val="single" w:sz="4" w:space="0" w:color="000000"/>
              <w:bottom w:val="single" w:sz="12" w:space="0" w:color="000000"/>
              <w:right w:val="single" w:sz="4" w:space="0" w:color="000000"/>
            </w:tcBorders>
            <w:shd w:val="clear" w:color="auto" w:fill="767070"/>
          </w:tcPr>
          <w:p w14:paraId="56EB92B8" w14:textId="77777777" w:rsidR="00466A15" w:rsidRDefault="00000000">
            <w:pPr>
              <w:widowControl/>
              <w:spacing w:after="80"/>
              <w:ind w:left="426" w:right="370"/>
              <w:jc w:val="both"/>
              <w:rPr>
                <w:color w:val="231F20"/>
                <w:sz w:val="24"/>
                <w:szCs w:val="24"/>
              </w:rPr>
            </w:pPr>
            <w:r>
              <w:rPr>
                <w:color w:val="231F20"/>
                <w:sz w:val="24"/>
                <w:szCs w:val="24"/>
              </w:rPr>
              <w:t>Price</w:t>
            </w:r>
          </w:p>
        </w:tc>
        <w:tc>
          <w:tcPr>
            <w:tcW w:w="2203" w:type="dxa"/>
            <w:tcBorders>
              <w:top w:val="single" w:sz="4" w:space="0" w:color="000000"/>
              <w:left w:val="single" w:sz="4" w:space="0" w:color="000000"/>
              <w:bottom w:val="single" w:sz="12" w:space="0" w:color="000000"/>
              <w:right w:val="single" w:sz="8" w:space="0" w:color="FFFFFF"/>
            </w:tcBorders>
            <w:shd w:val="clear" w:color="auto" w:fill="767070"/>
          </w:tcPr>
          <w:p w14:paraId="26688F1C" w14:textId="77777777" w:rsidR="00466A15" w:rsidRDefault="00000000">
            <w:pPr>
              <w:widowControl/>
              <w:spacing w:after="80"/>
              <w:ind w:left="426" w:right="370"/>
              <w:jc w:val="both"/>
              <w:rPr>
                <w:color w:val="231F20"/>
                <w:sz w:val="24"/>
                <w:szCs w:val="24"/>
              </w:rPr>
            </w:pPr>
            <w:r>
              <w:t xml:space="preserve">Key </w:t>
            </w:r>
            <w:proofErr w:type="spellStart"/>
            <w:r>
              <w:t>Features</w:t>
            </w:r>
            <w:proofErr w:type="spellEnd"/>
          </w:p>
        </w:tc>
      </w:tr>
      <w:tr w:rsidR="00466A15" w:rsidRPr="00F915A7" w14:paraId="02B2AD53" w14:textId="77777777">
        <w:trPr>
          <w:trHeight w:val="463"/>
        </w:trPr>
        <w:tc>
          <w:tcPr>
            <w:tcW w:w="1722" w:type="dxa"/>
            <w:tcBorders>
              <w:top w:val="single" w:sz="12" w:space="0" w:color="000000"/>
              <w:left w:val="single" w:sz="12" w:space="0" w:color="000000"/>
              <w:bottom w:val="single" w:sz="4" w:space="0" w:color="000000"/>
              <w:right w:val="single" w:sz="8" w:space="0" w:color="000000"/>
            </w:tcBorders>
            <w:shd w:val="clear" w:color="auto" w:fill="D0CECE"/>
          </w:tcPr>
          <w:p w14:paraId="02B4C7A3" w14:textId="77777777" w:rsidR="00466A15" w:rsidRDefault="00466A15">
            <w:pPr>
              <w:widowControl/>
              <w:spacing w:after="80"/>
              <w:ind w:left="426" w:right="370"/>
              <w:jc w:val="both"/>
              <w:rPr>
                <w:color w:val="231F20"/>
                <w:sz w:val="24"/>
                <w:szCs w:val="24"/>
              </w:rPr>
            </w:pPr>
          </w:p>
          <w:p w14:paraId="6C5B671E" w14:textId="77777777" w:rsidR="00466A15" w:rsidRDefault="00000000">
            <w:pPr>
              <w:widowControl/>
              <w:spacing w:after="80"/>
              <w:ind w:left="426" w:right="370"/>
              <w:jc w:val="both"/>
              <w:rPr>
                <w:color w:val="231F20"/>
                <w:sz w:val="24"/>
                <w:szCs w:val="24"/>
              </w:rPr>
            </w:pPr>
            <w:r>
              <w:rPr>
                <w:color w:val="231F20"/>
                <w:sz w:val="24"/>
                <w:szCs w:val="24"/>
              </w:rPr>
              <w:t>Netflix</w:t>
            </w:r>
          </w:p>
        </w:tc>
        <w:tc>
          <w:tcPr>
            <w:tcW w:w="2101" w:type="dxa"/>
            <w:tcBorders>
              <w:top w:val="single" w:sz="12"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98FDEDE" w14:textId="77777777" w:rsidR="00466A15" w:rsidRDefault="00466A15">
            <w:pPr>
              <w:widowControl/>
              <w:spacing w:after="80"/>
              <w:ind w:left="426" w:right="370"/>
              <w:jc w:val="both"/>
            </w:pPr>
          </w:p>
          <w:p w14:paraId="6F65A384" w14:textId="77777777" w:rsidR="00466A15" w:rsidRDefault="00000000">
            <w:pPr>
              <w:widowControl/>
              <w:spacing w:after="80"/>
              <w:ind w:left="426" w:right="370"/>
              <w:jc w:val="both"/>
              <w:rPr>
                <w:color w:val="231F20"/>
                <w:sz w:val="24"/>
                <w:szCs w:val="24"/>
              </w:rPr>
            </w:pPr>
            <w:r>
              <w:t xml:space="preserve">Standard </w:t>
            </w:r>
            <w:proofErr w:type="spellStart"/>
            <w:r>
              <w:t>with</w:t>
            </w:r>
            <w:proofErr w:type="spellEnd"/>
            <w:r>
              <w:t xml:space="preserve"> </w:t>
            </w:r>
            <w:proofErr w:type="spellStart"/>
            <w:r>
              <w:t>ads</w:t>
            </w:r>
            <w:proofErr w:type="spellEnd"/>
          </w:p>
        </w:tc>
        <w:tc>
          <w:tcPr>
            <w:tcW w:w="1559" w:type="dxa"/>
            <w:tcBorders>
              <w:top w:val="single" w:sz="12"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93EF9FD" w14:textId="77777777" w:rsidR="00466A15" w:rsidRDefault="00466A15">
            <w:pPr>
              <w:widowControl/>
              <w:spacing w:after="80"/>
              <w:ind w:left="426" w:right="370"/>
              <w:jc w:val="both"/>
              <w:rPr>
                <w:color w:val="231F20"/>
                <w:sz w:val="24"/>
                <w:szCs w:val="24"/>
              </w:rPr>
            </w:pPr>
          </w:p>
          <w:p w14:paraId="70091C46" w14:textId="77777777" w:rsidR="00466A15" w:rsidRDefault="00000000">
            <w:pPr>
              <w:widowControl/>
              <w:spacing w:after="80"/>
              <w:ind w:left="426" w:right="370"/>
              <w:jc w:val="both"/>
              <w:rPr>
                <w:color w:val="231F20"/>
                <w:sz w:val="24"/>
                <w:szCs w:val="24"/>
              </w:rPr>
            </w:pPr>
            <w:r>
              <w:rPr>
                <w:color w:val="231F20"/>
                <w:sz w:val="24"/>
                <w:szCs w:val="24"/>
              </w:rPr>
              <w:t>6,99</w:t>
            </w:r>
            <w:r>
              <w:rPr>
                <w:rFonts w:ascii="Times New Roman" w:eastAsia="Times New Roman" w:hAnsi="Times New Roman" w:cs="Times New Roman"/>
                <w:color w:val="231F20"/>
                <w:sz w:val="24"/>
                <w:szCs w:val="24"/>
              </w:rPr>
              <w:t> </w:t>
            </w:r>
            <w:r>
              <w:rPr>
                <w:color w:val="231F20"/>
                <w:sz w:val="24"/>
                <w:szCs w:val="24"/>
              </w:rPr>
              <w:t>€</w:t>
            </w:r>
          </w:p>
        </w:tc>
        <w:tc>
          <w:tcPr>
            <w:tcW w:w="2203" w:type="dxa"/>
            <w:tcBorders>
              <w:top w:val="single" w:sz="12"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8EA091" w14:textId="77777777" w:rsidR="00466A15" w:rsidRPr="00F915A7" w:rsidRDefault="00000000">
            <w:pPr>
              <w:widowControl/>
              <w:spacing w:after="80"/>
              <w:ind w:left="426" w:right="370"/>
              <w:jc w:val="both"/>
              <w:rPr>
                <w:color w:val="231F20"/>
                <w:sz w:val="24"/>
                <w:szCs w:val="24"/>
                <w:lang w:val="en-GB"/>
              </w:rPr>
            </w:pPr>
            <w:r w:rsidRPr="00F915A7">
              <w:rPr>
                <w:lang w:val="en-GB"/>
              </w:rPr>
              <w:t>HD quality, 2 simultaneous devices, includes advertising during playback.</w:t>
            </w:r>
          </w:p>
        </w:tc>
      </w:tr>
      <w:tr w:rsidR="00466A15" w:rsidRPr="00F915A7" w14:paraId="674208A1" w14:textId="77777777">
        <w:trPr>
          <w:trHeight w:val="390"/>
        </w:trPr>
        <w:tc>
          <w:tcPr>
            <w:tcW w:w="1722" w:type="dxa"/>
            <w:tcBorders>
              <w:top w:val="single" w:sz="4" w:space="0" w:color="000000"/>
              <w:left w:val="single" w:sz="12" w:space="0" w:color="000000"/>
              <w:bottom w:val="single" w:sz="4" w:space="0" w:color="000000"/>
              <w:right w:val="single" w:sz="8" w:space="0" w:color="000000"/>
            </w:tcBorders>
            <w:shd w:val="clear" w:color="auto" w:fill="999999"/>
          </w:tcPr>
          <w:p w14:paraId="1BB00A0B" w14:textId="77777777" w:rsidR="00466A15" w:rsidRPr="00F915A7" w:rsidRDefault="00466A15">
            <w:pPr>
              <w:widowControl/>
              <w:spacing w:after="80"/>
              <w:ind w:left="426" w:right="370"/>
              <w:jc w:val="both"/>
              <w:rPr>
                <w:color w:val="231F20"/>
                <w:sz w:val="24"/>
                <w:szCs w:val="24"/>
                <w:lang w:val="en-GB"/>
              </w:rPr>
            </w:pPr>
          </w:p>
          <w:p w14:paraId="4B7E0703" w14:textId="77777777" w:rsidR="00466A15" w:rsidRDefault="00000000">
            <w:pPr>
              <w:widowControl/>
              <w:spacing w:after="80"/>
              <w:ind w:left="426" w:right="370"/>
              <w:jc w:val="both"/>
              <w:rPr>
                <w:color w:val="231F20"/>
                <w:sz w:val="24"/>
                <w:szCs w:val="24"/>
              </w:rPr>
            </w:pPr>
            <w:r>
              <w:rPr>
                <w:color w:val="231F20"/>
                <w:sz w:val="24"/>
                <w:szCs w:val="24"/>
              </w:rPr>
              <w:t>Prime Video</w:t>
            </w:r>
          </w:p>
        </w:tc>
        <w:tc>
          <w:tcPr>
            <w:tcW w:w="21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CDFE5B7" w14:textId="77777777" w:rsidR="00466A15" w:rsidRDefault="00000000">
            <w:pPr>
              <w:widowControl/>
              <w:spacing w:after="80"/>
              <w:ind w:left="426" w:right="370"/>
              <w:jc w:val="both"/>
              <w:rPr>
                <w:color w:val="231F20"/>
                <w:sz w:val="24"/>
                <w:szCs w:val="24"/>
              </w:rPr>
            </w:pPr>
            <w:r>
              <w:t xml:space="preserve">Prime Video </w:t>
            </w:r>
            <w:proofErr w:type="spellStart"/>
            <w:r>
              <w:t>with</w:t>
            </w:r>
            <w:proofErr w:type="spellEnd"/>
            <w:r>
              <w:t xml:space="preserve"> </w:t>
            </w:r>
            <w:proofErr w:type="spellStart"/>
            <w:r>
              <w:t>ads</w:t>
            </w:r>
            <w:proofErr w:type="spellEnd"/>
          </w:p>
        </w:tc>
        <w:tc>
          <w:tcPr>
            <w:tcW w:w="15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47C7F55" w14:textId="77777777" w:rsidR="00466A15" w:rsidRDefault="00000000">
            <w:pPr>
              <w:widowControl/>
              <w:spacing w:after="80"/>
              <w:ind w:left="182" w:right="44"/>
              <w:jc w:val="both"/>
              <w:rPr>
                <w:color w:val="231F20"/>
                <w:sz w:val="24"/>
                <w:szCs w:val="24"/>
              </w:rPr>
            </w:pPr>
            <w:proofErr w:type="spellStart"/>
            <w:r>
              <w:t>Included</w:t>
            </w:r>
            <w:proofErr w:type="spellEnd"/>
            <w:r>
              <w:t xml:space="preserve"> </w:t>
            </w:r>
            <w:proofErr w:type="spellStart"/>
            <w:r>
              <w:t>with</w:t>
            </w:r>
            <w:proofErr w:type="spellEnd"/>
            <w:r>
              <w:t xml:space="preserve"> Prime (€4.99/</w:t>
            </w:r>
            <w:proofErr w:type="spellStart"/>
            <w:r>
              <w:t>mo</w:t>
            </w:r>
            <w:proofErr w:type="spellEnd"/>
            <w:r>
              <w:t>)</w:t>
            </w:r>
          </w:p>
        </w:tc>
        <w:tc>
          <w:tcPr>
            <w:tcW w:w="220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72DE89F" w14:textId="77777777" w:rsidR="00466A15" w:rsidRPr="00F915A7" w:rsidRDefault="00000000">
            <w:pPr>
              <w:widowControl/>
              <w:spacing w:after="80"/>
              <w:ind w:left="426" w:right="370"/>
              <w:jc w:val="both"/>
              <w:rPr>
                <w:color w:val="231F20"/>
                <w:sz w:val="24"/>
                <w:szCs w:val="24"/>
                <w:lang w:val="en-GB"/>
              </w:rPr>
            </w:pPr>
            <w:r w:rsidRPr="00F915A7">
              <w:rPr>
                <w:lang w:val="en-GB"/>
              </w:rPr>
              <w:t>Limited ads, premium content, additional payment option to remove ads</w:t>
            </w:r>
          </w:p>
        </w:tc>
      </w:tr>
      <w:tr w:rsidR="00466A15" w:rsidRPr="00F915A7" w14:paraId="4BB61BCB" w14:textId="77777777">
        <w:trPr>
          <w:trHeight w:val="330"/>
        </w:trPr>
        <w:tc>
          <w:tcPr>
            <w:tcW w:w="1722" w:type="dxa"/>
            <w:tcBorders>
              <w:top w:val="single" w:sz="4" w:space="0" w:color="000000"/>
              <w:left w:val="single" w:sz="12" w:space="0" w:color="000000"/>
              <w:bottom w:val="single" w:sz="4" w:space="0" w:color="000000"/>
              <w:right w:val="single" w:sz="8" w:space="0" w:color="000000"/>
            </w:tcBorders>
            <w:shd w:val="clear" w:color="auto" w:fill="999999"/>
          </w:tcPr>
          <w:p w14:paraId="6B5205C4" w14:textId="77777777" w:rsidR="00466A15" w:rsidRPr="00F915A7" w:rsidRDefault="00466A15">
            <w:pPr>
              <w:widowControl/>
              <w:spacing w:after="80"/>
              <w:ind w:left="426" w:right="370"/>
              <w:jc w:val="both"/>
              <w:rPr>
                <w:color w:val="231F20"/>
                <w:sz w:val="24"/>
                <w:szCs w:val="24"/>
                <w:lang w:val="en-GB"/>
              </w:rPr>
            </w:pPr>
          </w:p>
          <w:p w14:paraId="44B42504" w14:textId="77777777" w:rsidR="00466A15" w:rsidRDefault="00000000">
            <w:pPr>
              <w:widowControl/>
              <w:spacing w:after="80"/>
              <w:ind w:left="426" w:right="370"/>
              <w:jc w:val="both"/>
              <w:rPr>
                <w:color w:val="231F20"/>
                <w:sz w:val="24"/>
                <w:szCs w:val="24"/>
              </w:rPr>
            </w:pPr>
            <w:r>
              <w:rPr>
                <w:color w:val="231F20"/>
                <w:sz w:val="24"/>
                <w:szCs w:val="24"/>
              </w:rPr>
              <w:t>Disney +</w:t>
            </w:r>
          </w:p>
        </w:tc>
        <w:tc>
          <w:tcPr>
            <w:tcW w:w="21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DFCEB2F" w14:textId="77777777" w:rsidR="00466A15" w:rsidRDefault="00000000">
            <w:pPr>
              <w:widowControl/>
              <w:spacing w:after="80"/>
              <w:ind w:left="426" w:right="370"/>
              <w:jc w:val="both"/>
              <w:rPr>
                <w:color w:val="231F20"/>
                <w:sz w:val="24"/>
                <w:szCs w:val="24"/>
              </w:rPr>
            </w:pPr>
            <w:r>
              <w:t xml:space="preserve">Standard </w:t>
            </w:r>
            <w:proofErr w:type="spellStart"/>
            <w:r>
              <w:t>with</w:t>
            </w:r>
            <w:proofErr w:type="spellEnd"/>
            <w:r>
              <w:t xml:space="preserve"> </w:t>
            </w:r>
            <w:proofErr w:type="spellStart"/>
            <w:r>
              <w:t>ads</w:t>
            </w:r>
            <w:proofErr w:type="spellEnd"/>
          </w:p>
        </w:tc>
        <w:tc>
          <w:tcPr>
            <w:tcW w:w="15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AD75704" w14:textId="77777777" w:rsidR="00466A15" w:rsidRDefault="00000000">
            <w:pPr>
              <w:widowControl/>
              <w:spacing w:after="80"/>
              <w:ind w:left="426" w:right="370"/>
              <w:jc w:val="both"/>
              <w:rPr>
                <w:color w:val="231F20"/>
                <w:sz w:val="24"/>
                <w:szCs w:val="24"/>
              </w:rPr>
            </w:pPr>
            <w:r>
              <w:rPr>
                <w:color w:val="231F20"/>
                <w:sz w:val="24"/>
                <w:szCs w:val="24"/>
              </w:rPr>
              <w:t>5,99</w:t>
            </w:r>
            <w:r>
              <w:rPr>
                <w:rFonts w:ascii="Times New Roman" w:eastAsia="Times New Roman" w:hAnsi="Times New Roman" w:cs="Times New Roman"/>
                <w:color w:val="231F20"/>
                <w:sz w:val="24"/>
                <w:szCs w:val="24"/>
              </w:rPr>
              <w:t> </w:t>
            </w:r>
            <w:r>
              <w:rPr>
                <w:color w:val="231F20"/>
                <w:sz w:val="24"/>
                <w:szCs w:val="24"/>
              </w:rPr>
              <w:t>€</w:t>
            </w:r>
          </w:p>
        </w:tc>
        <w:tc>
          <w:tcPr>
            <w:tcW w:w="220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23238B4" w14:textId="77777777" w:rsidR="00466A15" w:rsidRPr="00F915A7" w:rsidRDefault="00000000">
            <w:pPr>
              <w:widowControl/>
              <w:spacing w:after="80"/>
              <w:ind w:left="426" w:right="370"/>
              <w:jc w:val="both"/>
              <w:rPr>
                <w:color w:val="231F20"/>
                <w:sz w:val="24"/>
                <w:szCs w:val="24"/>
                <w:lang w:val="en-GB"/>
              </w:rPr>
            </w:pPr>
            <w:r w:rsidRPr="00F915A7">
              <w:rPr>
                <w:lang w:val="en-GB"/>
              </w:rPr>
              <w:t>Full HD quality, 2 simultaneous devices, no downloads, includes advertising.</w:t>
            </w:r>
          </w:p>
        </w:tc>
      </w:tr>
      <w:tr w:rsidR="00466A15" w:rsidRPr="00F915A7" w14:paraId="5F3E651E" w14:textId="77777777">
        <w:trPr>
          <w:trHeight w:val="330"/>
        </w:trPr>
        <w:tc>
          <w:tcPr>
            <w:tcW w:w="1722" w:type="dxa"/>
            <w:tcBorders>
              <w:top w:val="single" w:sz="4" w:space="0" w:color="000000"/>
              <w:left w:val="single" w:sz="12" w:space="0" w:color="000000"/>
              <w:bottom w:val="single" w:sz="4" w:space="0" w:color="000000"/>
              <w:right w:val="single" w:sz="8" w:space="0" w:color="000000"/>
            </w:tcBorders>
          </w:tcPr>
          <w:p w14:paraId="245522C0" w14:textId="77777777" w:rsidR="00466A15" w:rsidRPr="00F915A7" w:rsidRDefault="00466A15">
            <w:pPr>
              <w:widowControl/>
              <w:spacing w:after="80"/>
              <w:ind w:left="426" w:right="370"/>
              <w:jc w:val="both"/>
              <w:rPr>
                <w:color w:val="231F20"/>
                <w:sz w:val="24"/>
                <w:szCs w:val="24"/>
                <w:lang w:val="en-GB"/>
              </w:rPr>
            </w:pPr>
          </w:p>
          <w:p w14:paraId="7122D7B8" w14:textId="77777777" w:rsidR="00466A15" w:rsidRDefault="00000000">
            <w:pPr>
              <w:widowControl/>
              <w:spacing w:after="80"/>
              <w:ind w:left="426" w:right="370"/>
              <w:jc w:val="both"/>
              <w:rPr>
                <w:color w:val="231F20"/>
                <w:sz w:val="24"/>
                <w:szCs w:val="24"/>
              </w:rPr>
            </w:pPr>
            <w:r>
              <w:rPr>
                <w:color w:val="231F20"/>
                <w:sz w:val="24"/>
                <w:szCs w:val="24"/>
              </w:rPr>
              <w:t>HBO Max</w:t>
            </w:r>
          </w:p>
        </w:tc>
        <w:tc>
          <w:tcPr>
            <w:tcW w:w="210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0BAA1FB" w14:textId="77777777" w:rsidR="00466A15" w:rsidRDefault="00000000">
            <w:pPr>
              <w:widowControl/>
              <w:spacing w:after="80"/>
              <w:ind w:left="426" w:right="370"/>
              <w:rPr>
                <w:color w:val="231F20"/>
                <w:sz w:val="24"/>
                <w:szCs w:val="24"/>
              </w:rPr>
            </w:pPr>
            <w:r>
              <w:t xml:space="preserve">Basic </w:t>
            </w:r>
            <w:proofErr w:type="spellStart"/>
            <w:r>
              <w:t>with</w:t>
            </w:r>
            <w:proofErr w:type="spellEnd"/>
            <w:r>
              <w:t xml:space="preserve"> </w:t>
            </w:r>
            <w:proofErr w:type="spellStart"/>
            <w:r>
              <w:t>ads</w:t>
            </w:r>
            <w:proofErr w:type="spellEnd"/>
          </w:p>
        </w:tc>
        <w:tc>
          <w:tcPr>
            <w:tcW w:w="155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2E50900" w14:textId="77777777" w:rsidR="00466A15" w:rsidRDefault="00000000">
            <w:pPr>
              <w:widowControl/>
              <w:spacing w:after="80"/>
              <w:ind w:left="426" w:right="370"/>
              <w:jc w:val="both"/>
              <w:rPr>
                <w:color w:val="231F20"/>
                <w:sz w:val="24"/>
                <w:szCs w:val="24"/>
              </w:rPr>
            </w:pPr>
            <w:r>
              <w:rPr>
                <w:color w:val="231F20"/>
                <w:sz w:val="24"/>
                <w:szCs w:val="24"/>
              </w:rPr>
              <w:t>6,99</w:t>
            </w:r>
            <w:r>
              <w:rPr>
                <w:rFonts w:ascii="Times New Roman" w:eastAsia="Times New Roman" w:hAnsi="Times New Roman" w:cs="Times New Roman"/>
                <w:color w:val="231F20"/>
                <w:sz w:val="24"/>
                <w:szCs w:val="24"/>
              </w:rPr>
              <w:t> </w:t>
            </w:r>
            <w:r>
              <w:rPr>
                <w:color w:val="231F20"/>
                <w:sz w:val="24"/>
                <w:szCs w:val="24"/>
              </w:rPr>
              <w:t>€</w:t>
            </w:r>
          </w:p>
        </w:tc>
        <w:tc>
          <w:tcPr>
            <w:tcW w:w="220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79737A4" w14:textId="77777777" w:rsidR="00466A15" w:rsidRPr="00F915A7" w:rsidRDefault="00000000">
            <w:pPr>
              <w:widowControl/>
              <w:spacing w:after="80"/>
              <w:ind w:left="426" w:right="370"/>
              <w:jc w:val="both"/>
              <w:rPr>
                <w:color w:val="231F20"/>
                <w:sz w:val="24"/>
                <w:szCs w:val="24"/>
                <w:lang w:val="en-GB"/>
              </w:rPr>
            </w:pPr>
            <w:r w:rsidRPr="00F915A7">
              <w:rPr>
                <w:lang w:val="en-GB"/>
              </w:rPr>
              <w:t xml:space="preserve">Full HD quality, 2 simultaneous devices, </w:t>
            </w:r>
            <w:r w:rsidRPr="00F915A7">
              <w:rPr>
                <w:i/>
                <w:iCs/>
                <w:lang w:val="en-GB"/>
              </w:rPr>
              <w:t>pre-roll</w:t>
            </w:r>
            <w:r w:rsidRPr="00F915A7">
              <w:rPr>
                <w:lang w:val="en-GB"/>
              </w:rPr>
              <w:t xml:space="preserve"> and </w:t>
            </w:r>
            <w:r w:rsidRPr="00F915A7">
              <w:rPr>
                <w:i/>
                <w:iCs/>
                <w:lang w:val="en-GB"/>
              </w:rPr>
              <w:t>mid-roll</w:t>
            </w:r>
            <w:r w:rsidRPr="00F915A7">
              <w:rPr>
                <w:lang w:val="en-GB"/>
              </w:rPr>
              <w:t xml:space="preserve"> ads.</w:t>
            </w:r>
          </w:p>
        </w:tc>
      </w:tr>
    </w:tbl>
    <w:p w14:paraId="77BA283B" w14:textId="77777777" w:rsidR="00466A15" w:rsidRPr="00F915A7" w:rsidRDefault="00000000">
      <w:pPr>
        <w:widowControl/>
        <w:pBdr>
          <w:top w:val="nil"/>
          <w:left w:val="nil"/>
          <w:bottom w:val="nil"/>
          <w:right w:val="nil"/>
          <w:between w:val="nil"/>
        </w:pBdr>
        <w:spacing w:after="80"/>
        <w:ind w:left="426" w:right="370"/>
        <w:jc w:val="center"/>
        <w:rPr>
          <w:color w:val="231F20"/>
          <w:sz w:val="24"/>
          <w:szCs w:val="24"/>
          <w:lang w:val="en-GB"/>
        </w:rPr>
      </w:pPr>
      <w:r w:rsidRPr="00F915A7">
        <w:rPr>
          <w:lang w:val="en-GB"/>
        </w:rPr>
        <w:t>Source: Own elaboration.</w:t>
      </w:r>
    </w:p>
    <w:p w14:paraId="3BA654B2"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lang w:val="en-GB"/>
        </w:rPr>
        <w:br w:type="page"/>
      </w:r>
    </w:p>
    <w:p w14:paraId="770C14D7"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lastRenderedPageBreak/>
        <w:t xml:space="preserve">There is no consensus within the industry regarding how much AVOD revenue will grow in 2026. While </w:t>
      </w:r>
      <w:r w:rsidRPr="00F915A7">
        <w:rPr>
          <w:i/>
          <w:iCs/>
          <w:color w:val="231F20"/>
          <w:sz w:val="24"/>
          <w:szCs w:val="24"/>
          <w:lang w:val="en-GB"/>
        </w:rPr>
        <w:t>Digital TV Research</w:t>
      </w:r>
      <w:r w:rsidRPr="00F915A7">
        <w:rPr>
          <w:color w:val="231F20"/>
          <w:sz w:val="24"/>
          <w:szCs w:val="24"/>
          <w:lang w:val="en-GB"/>
        </w:rPr>
        <w:t xml:space="preserve"> (2021) projected that AVOD revenue would grow by 144% globally, reaching 54 billion dollars, </w:t>
      </w:r>
      <w:proofErr w:type="spellStart"/>
      <w:r w:rsidRPr="00F915A7">
        <w:rPr>
          <w:color w:val="231F20"/>
          <w:sz w:val="24"/>
          <w:szCs w:val="24"/>
          <w:lang w:val="en-GB"/>
        </w:rPr>
        <w:t>ThinkBRG</w:t>
      </w:r>
      <w:proofErr w:type="spellEnd"/>
      <w:r w:rsidRPr="00F915A7">
        <w:rPr>
          <w:color w:val="231F20"/>
          <w:sz w:val="24"/>
          <w:szCs w:val="24"/>
          <w:lang w:val="en-GB"/>
        </w:rPr>
        <w:t xml:space="preserve"> (2024) pointed toward single-digit growth in streaming advertising revenue for 2025 and 2026.</w:t>
      </w:r>
    </w:p>
    <w:p w14:paraId="258876B1" w14:textId="77777777" w:rsidR="00466A15" w:rsidRPr="00F915A7" w:rsidRDefault="00466A15">
      <w:pPr>
        <w:widowControl/>
        <w:pBdr>
          <w:top w:val="nil"/>
          <w:left w:val="nil"/>
          <w:bottom w:val="nil"/>
          <w:right w:val="nil"/>
          <w:between w:val="nil"/>
        </w:pBdr>
        <w:spacing w:after="80"/>
        <w:ind w:right="370"/>
        <w:jc w:val="both"/>
        <w:rPr>
          <w:color w:val="231F20"/>
          <w:sz w:val="24"/>
          <w:szCs w:val="24"/>
          <w:lang w:val="en-GB"/>
        </w:rPr>
      </w:pPr>
    </w:p>
    <w:p w14:paraId="7F3E1E11" w14:textId="77777777" w:rsidR="00466A15" w:rsidRPr="00F915A7" w:rsidRDefault="00000000">
      <w:pPr>
        <w:widowControl/>
        <w:pBdr>
          <w:top w:val="nil"/>
          <w:left w:val="nil"/>
          <w:bottom w:val="nil"/>
          <w:right w:val="nil"/>
          <w:between w:val="nil"/>
        </w:pBdr>
        <w:spacing w:after="80"/>
        <w:ind w:left="426" w:right="370"/>
        <w:jc w:val="both"/>
        <w:rPr>
          <w:i/>
          <w:iCs/>
          <w:color w:val="9A0203"/>
          <w:sz w:val="24"/>
          <w:szCs w:val="24"/>
          <w:lang w:val="en-GB"/>
        </w:rPr>
      </w:pPr>
      <w:r w:rsidRPr="00F915A7">
        <w:rPr>
          <w:i/>
          <w:iCs/>
          <w:color w:val="9A0203"/>
          <w:sz w:val="24"/>
          <w:szCs w:val="24"/>
          <w:lang w:val="en-GB"/>
        </w:rPr>
        <w:t>1.4. Relevance and Justification of the Study</w:t>
      </w:r>
    </w:p>
    <w:p w14:paraId="0D14741B"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The strategic migration of major SVOD platforms toward alternative models—which either include a set number of ads per hour or combine them with a lower monthly subscription fee—represents a radical shift in the digital entertainment landscape. It is essential to understand the economic impact of this evolution on the audiovisual industry as a whole, including content providers, advertisers, and, of course, consumers.</w:t>
      </w:r>
    </w:p>
    <w:p w14:paraId="64B6E215"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570C3B42"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This study is justified by the urgent need to identify the economic factors driving this metamorphosis toward a commercial or mixed streaming model, as well as its potential direct and indirect consequences. It addresses the increase in revenue for platforms through advertising and how this affects user experience, subscriber retention, and positioning within a fragmented and hyper-competitive market. Its relevance lies in providing a comprehensive view of the economic and market forces reshaping the future of audiovisual consumption, offering valuable insights for both academics and professionals.</w:t>
      </w:r>
    </w:p>
    <w:p w14:paraId="0B4A47F1"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3BB6B0C8"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Objective and Research Questions. The general objective of this paper is to comparatively evaluate the economic impact of adopting ad-supported plans (AVOD/HVOD) on Netflix, Prime Video, Disney+, and HBO Max, focusing on their interaction with pricing strategy, user acquisition/retention, and competitive positioning. The following specific objectives are proposed:</w:t>
      </w:r>
    </w:p>
    <w:p w14:paraId="6AA8C664"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67CFCD15"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(O1) Identify the economic factors driving the transition from SVOD to AVOD/HVOD.</w:t>
      </w:r>
    </w:p>
    <w:p w14:paraId="29FB87E8"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(O2) Compare advertising implementation strategies.</w:t>
      </w:r>
    </w:p>
    <w:p w14:paraId="31998AA0"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(O3) Discuss the implications for model sustainability and competition in mature markets like Spain.</w:t>
      </w:r>
    </w:p>
    <w:p w14:paraId="6A67F091"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From these, the following research questions are derived:</w:t>
      </w:r>
    </w:p>
    <w:p w14:paraId="3084DFB7"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74873EAD"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RQ1: What economic factors explain the transition toward ad-supported models across the four platforms?</w:t>
      </w:r>
    </w:p>
    <w:p w14:paraId="037C72D4"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RQ2: What strategic similarities and differences exist in terms of pricing, plan design, and monetization logic?</w:t>
      </w:r>
    </w:p>
    <w:p w14:paraId="584DEBC8"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 xml:space="preserve">RQ3: What conditions </w:t>
      </w:r>
      <w:proofErr w:type="spellStart"/>
      <w:r w:rsidRPr="00F915A7">
        <w:rPr>
          <w:color w:val="231F20"/>
          <w:sz w:val="24"/>
          <w:szCs w:val="24"/>
          <w:lang w:val="en-GB"/>
        </w:rPr>
        <w:t>favor</w:t>
      </w:r>
      <w:proofErr w:type="spellEnd"/>
      <w:r w:rsidRPr="00F915A7">
        <w:rPr>
          <w:color w:val="231F20"/>
          <w:sz w:val="24"/>
          <w:szCs w:val="24"/>
          <w:lang w:val="en-GB"/>
        </w:rPr>
        <w:t xml:space="preserve"> the sustainability of AVOD/HVOD in the short and medium term?</w:t>
      </w:r>
    </w:p>
    <w:p w14:paraId="405B3D69"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074FB240"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As a working hypothesis, the following are proposed:</w:t>
      </w:r>
    </w:p>
    <w:p w14:paraId="1775F135"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22B33B53"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H1: The adoption of ad-supported plans is associated with greater revenue diversification and facilitates price segmentation in contexts of subscription fatigue.</w:t>
      </w:r>
    </w:p>
    <w:p w14:paraId="50F7940D"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H2: In mature markets, competitive advantage depends not only on price but on the combination of ad inventory, content exclusivity, distribution alliances, and brand building.</w:t>
      </w:r>
    </w:p>
    <w:p w14:paraId="44F799B4" w14:textId="77777777" w:rsidR="00466A15" w:rsidRPr="00F915A7" w:rsidRDefault="00466A15">
      <w:pPr>
        <w:widowControl/>
        <w:pBdr>
          <w:top w:val="nil"/>
          <w:left w:val="nil"/>
          <w:bottom w:val="nil"/>
          <w:right w:val="nil"/>
          <w:between w:val="nil"/>
        </w:pBdr>
        <w:spacing w:after="80"/>
        <w:ind w:right="370"/>
        <w:jc w:val="both"/>
        <w:rPr>
          <w:color w:val="231F20"/>
          <w:sz w:val="24"/>
          <w:szCs w:val="24"/>
          <w:lang w:val="en-GB"/>
        </w:rPr>
      </w:pPr>
    </w:p>
    <w:p w14:paraId="69D06634" w14:textId="77777777" w:rsidR="00466A15" w:rsidRPr="00F915A7" w:rsidRDefault="00000000">
      <w:pPr>
        <w:pStyle w:val="Ttulo2"/>
        <w:widowControl/>
        <w:rPr>
          <w:lang w:val="en-GB"/>
        </w:rPr>
      </w:pPr>
      <w:bookmarkStart w:id="1" w:name="_heading=h.2j7ndgrxq1v" w:colFirst="0" w:colLast="0"/>
      <w:bookmarkEnd w:id="1"/>
      <w:r w:rsidRPr="00F915A7">
        <w:rPr>
          <w:lang w:val="en-GB"/>
        </w:rPr>
        <w:t>2. Theoretical framework</w:t>
      </w:r>
    </w:p>
    <w:p w14:paraId="7AEDD498" w14:textId="77777777" w:rsidR="00466A15" w:rsidRPr="00F915A7" w:rsidRDefault="00466A15">
      <w:pPr>
        <w:widowControl/>
        <w:pBdr>
          <w:top w:val="nil"/>
          <w:left w:val="nil"/>
          <w:bottom w:val="nil"/>
          <w:right w:val="nil"/>
          <w:between w:val="nil"/>
        </w:pBdr>
        <w:spacing w:after="80"/>
        <w:ind w:left="426" w:right="370"/>
        <w:jc w:val="both"/>
        <w:rPr>
          <w:b/>
          <w:bCs/>
          <w:color w:val="9A0203"/>
          <w:sz w:val="28"/>
          <w:szCs w:val="28"/>
          <w:lang w:val="en-GB"/>
        </w:rPr>
      </w:pPr>
    </w:p>
    <w:p w14:paraId="1101C727"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 xml:space="preserve">The rise of streaming and the recent metamorphosis toward advertising integration cannot be understood without a theoretical foundation encompassing media economics, digital business models, and consumer </w:t>
      </w:r>
      <w:proofErr w:type="spellStart"/>
      <w:r w:rsidRPr="00F915A7">
        <w:rPr>
          <w:color w:val="231F20"/>
          <w:sz w:val="24"/>
          <w:szCs w:val="24"/>
          <w:lang w:val="en-GB"/>
        </w:rPr>
        <w:t>behavior</w:t>
      </w:r>
      <w:proofErr w:type="spellEnd"/>
      <w:r w:rsidRPr="00F915A7">
        <w:rPr>
          <w:color w:val="231F20"/>
          <w:sz w:val="24"/>
          <w:szCs w:val="24"/>
          <w:lang w:val="en-GB"/>
        </w:rPr>
        <w:t>. This section explores fundamental concepts, the digital economy, monetization strategies, and the transformation of business models.</w:t>
      </w:r>
    </w:p>
    <w:p w14:paraId="0C41E76E"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57582CA5" w14:textId="77777777" w:rsidR="00466A15" w:rsidRPr="00F915A7" w:rsidRDefault="00000000">
      <w:pPr>
        <w:widowControl/>
        <w:pBdr>
          <w:top w:val="nil"/>
          <w:left w:val="nil"/>
          <w:bottom w:val="nil"/>
          <w:right w:val="nil"/>
          <w:between w:val="nil"/>
        </w:pBdr>
        <w:spacing w:after="80"/>
        <w:ind w:left="426" w:right="370"/>
        <w:jc w:val="both"/>
        <w:rPr>
          <w:i/>
          <w:iCs/>
          <w:color w:val="9A0203"/>
          <w:sz w:val="24"/>
          <w:szCs w:val="24"/>
          <w:lang w:val="en-GB"/>
        </w:rPr>
      </w:pPr>
      <w:r w:rsidRPr="00F915A7">
        <w:rPr>
          <w:i/>
          <w:iCs/>
          <w:color w:val="9A0203"/>
          <w:sz w:val="24"/>
          <w:szCs w:val="24"/>
          <w:lang w:val="en-GB"/>
        </w:rPr>
        <w:t>2.1. Streaming Business Models: SVOD, AVOD, TVOD, and HVOD</w:t>
      </w:r>
    </w:p>
    <w:p w14:paraId="6CB58CEE" w14:textId="73797D80"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The streaming industry has been characterized by the coexistence and evolution of various business models. SVOD was the predominant model that transformed audiovisual consumption, promoting binge-watching or "</w:t>
      </w:r>
      <w:r w:rsidR="00F915A7" w:rsidRPr="00F915A7">
        <w:rPr>
          <w:color w:val="231F20"/>
          <w:sz w:val="24"/>
          <w:szCs w:val="24"/>
          <w:lang w:val="en-GB"/>
        </w:rPr>
        <w:t>binge-watching</w:t>
      </w:r>
      <w:r w:rsidRPr="00F915A7">
        <w:rPr>
          <w:color w:val="231F20"/>
          <w:sz w:val="24"/>
          <w:szCs w:val="24"/>
          <w:lang w:val="en-GB"/>
        </w:rPr>
        <w:t xml:space="preserve">" and on-demand access. It is based on recurring subscription payments (monthly, annually, or per individual viewing) to access an unlimited </w:t>
      </w:r>
      <w:proofErr w:type="spellStart"/>
      <w:r w:rsidRPr="00F915A7">
        <w:rPr>
          <w:color w:val="231F20"/>
          <w:sz w:val="24"/>
          <w:szCs w:val="24"/>
          <w:lang w:val="en-GB"/>
        </w:rPr>
        <w:t>catalog</w:t>
      </w:r>
      <w:proofErr w:type="spellEnd"/>
      <w:r w:rsidRPr="00F915A7">
        <w:rPr>
          <w:color w:val="231F20"/>
          <w:sz w:val="24"/>
          <w:szCs w:val="24"/>
          <w:lang w:val="en-GB"/>
        </w:rPr>
        <w:t xml:space="preserve"> of content without commercial interruptions, </w:t>
      </w:r>
      <w:r w:rsidR="00750BA0" w:rsidRPr="00750BA0">
        <w:rPr>
          <w:color w:val="231F20"/>
          <w:sz w:val="24"/>
          <w:szCs w:val="24"/>
          <w:lang w:val="en-GB"/>
        </w:rPr>
        <w:t>with Netflix being the leading example</w:t>
      </w:r>
      <w:r w:rsidRPr="00F915A7">
        <w:rPr>
          <w:color w:val="231F20"/>
          <w:sz w:val="24"/>
          <w:szCs w:val="24"/>
          <w:lang w:val="en-GB"/>
        </w:rPr>
        <w:t xml:space="preserve">. Its advantages lie in revenue predictability and a premium user experience. However, challenges have emerged, such as the aforementioned "subscriber fatigue" and the </w:t>
      </w:r>
      <w:r w:rsidRPr="00F915A7">
        <w:rPr>
          <w:color w:val="231F20"/>
          <w:sz w:val="24"/>
          <w:szCs w:val="24"/>
          <w:lang w:val="en-GB"/>
        </w:rPr>
        <w:lastRenderedPageBreak/>
        <w:t>constant obligation to invest in costly content to justify pricing and retain users.</w:t>
      </w:r>
    </w:p>
    <w:p w14:paraId="0BEC823F"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0B4D6110"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In contrast, AVOD offers free or lower-priced content, monetizing through the insertion of advertising. Platforms like Pluto TV and Roku are examples of this pure model, which intensifies competition by offering content without a subscription fee. Its advantages include wider audience reach and the possibility of scalable revenue based on viewership volume and ad segmentation. The disadvantages revolve around potential user aversion to ads and the need for a sufficiently large viewer base to generate viable income.</w:t>
      </w:r>
    </w:p>
    <w:p w14:paraId="329162CD"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0E8830F6"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TVOD (Transactional Video On Demand) refers to the rental or purchase of individual content, such as movies or sporting events. Although tangential to the focus of this study, it complements the monetization strategies of these four platforms.</w:t>
      </w:r>
    </w:p>
    <w:p w14:paraId="19CB02B8"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1C340CE9"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Finally, HVOD represents a combination of the SVOD and AVOD models by offering subscription plans with and without advertising at different price points. This hybrid model arises to balance the demand for lower rates with the need for advertising revenue, attracting price-sensitive consumers and diversifying monetization sources. This is a strategy shared by the four platforms studied: Netflix, Prime, Disney+, and HBO Max.</w:t>
      </w:r>
    </w:p>
    <w:p w14:paraId="13E005BD"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1448D4E4" w14:textId="77777777" w:rsidR="00466A15" w:rsidRPr="00F915A7" w:rsidRDefault="00000000">
      <w:pPr>
        <w:widowControl/>
        <w:pBdr>
          <w:top w:val="nil"/>
          <w:left w:val="nil"/>
          <w:bottom w:val="nil"/>
          <w:right w:val="nil"/>
          <w:between w:val="nil"/>
        </w:pBdr>
        <w:spacing w:after="80"/>
        <w:ind w:left="426" w:right="370"/>
        <w:jc w:val="both"/>
        <w:rPr>
          <w:i/>
          <w:iCs/>
          <w:color w:val="9A0203"/>
          <w:sz w:val="24"/>
          <w:szCs w:val="24"/>
          <w:lang w:val="en-GB"/>
        </w:rPr>
      </w:pPr>
      <w:r w:rsidRPr="00F915A7">
        <w:rPr>
          <w:i/>
          <w:iCs/>
          <w:color w:val="9A0203"/>
          <w:sz w:val="24"/>
          <w:szCs w:val="24"/>
          <w:lang w:val="en-GB"/>
        </w:rPr>
        <w:t>2.2. Digital Advertising Theories and the Attention Economy</w:t>
      </w:r>
    </w:p>
    <w:p w14:paraId="491BEF44"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 xml:space="preserve">The expansion of advertising into streaming services is built upon the core principles of digital marketing. Common pricing models include CPM (cost per </w:t>
      </w:r>
      <w:proofErr w:type="spellStart"/>
      <w:r w:rsidRPr="00F915A7">
        <w:rPr>
          <w:color w:val="231F20"/>
          <w:sz w:val="24"/>
          <w:szCs w:val="24"/>
          <w:lang w:val="en-GB"/>
        </w:rPr>
        <w:t>mille</w:t>
      </w:r>
      <w:proofErr w:type="spellEnd"/>
      <w:r w:rsidRPr="00F915A7">
        <w:rPr>
          <w:color w:val="231F20"/>
          <w:sz w:val="24"/>
          <w:szCs w:val="24"/>
          <w:lang w:val="en-GB"/>
        </w:rPr>
        <w:t>/thousand impressions), CPC (cost per click), and CPA (cost per acquisition), with CPM being the most prevalent in video formats. Programmatic advertising utilizes algorithms to automate the buying and selling of ad space, allowing for much more precise audience segmentation. This optimizes both ad relevance for the user and ROI (return on investment) for the advertiser.</w:t>
      </w:r>
    </w:p>
    <w:p w14:paraId="4FB6E5A2"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36946134"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 xml:space="preserve">Directly linked to this framework is the concept of the "attention economy" (Simon, 1971), where user attention is treated as a scarce and valuable resource for which platforms must compete. Video advertising </w:t>
      </w:r>
      <w:r w:rsidRPr="00F915A7">
        <w:rPr>
          <w:color w:val="231F20"/>
          <w:sz w:val="24"/>
          <w:szCs w:val="24"/>
          <w:lang w:val="en-GB"/>
        </w:rPr>
        <w:lastRenderedPageBreak/>
        <w:t>aims to capture this attention effectively, using engagement metrics to evaluate impact. The way ads are integrated—and how the user perceives this intrusion—are decisive factors in the success of the HVOD (Hybrid Video on Demand) model.</w:t>
      </w:r>
    </w:p>
    <w:p w14:paraId="7561CA33"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4396FD37" w14:textId="77777777" w:rsidR="00466A15" w:rsidRPr="00F915A7" w:rsidRDefault="00000000">
      <w:pPr>
        <w:widowControl/>
        <w:pBdr>
          <w:top w:val="nil"/>
          <w:left w:val="nil"/>
          <w:bottom w:val="nil"/>
          <w:right w:val="nil"/>
          <w:between w:val="nil"/>
        </w:pBdr>
        <w:spacing w:after="80"/>
        <w:ind w:left="426" w:right="370"/>
        <w:jc w:val="both"/>
        <w:rPr>
          <w:i/>
          <w:iCs/>
          <w:color w:val="9A0203"/>
          <w:sz w:val="24"/>
          <w:szCs w:val="24"/>
          <w:lang w:val="en-GB"/>
        </w:rPr>
      </w:pPr>
      <w:r w:rsidRPr="00F915A7">
        <w:rPr>
          <w:i/>
          <w:iCs/>
          <w:color w:val="9A0203"/>
          <w:sz w:val="24"/>
          <w:szCs w:val="24"/>
          <w:lang w:val="en-GB"/>
        </w:rPr>
        <w:t xml:space="preserve">2.3. Consumer </w:t>
      </w:r>
      <w:proofErr w:type="spellStart"/>
      <w:r w:rsidRPr="00F915A7">
        <w:rPr>
          <w:i/>
          <w:iCs/>
          <w:color w:val="9A0203"/>
          <w:sz w:val="24"/>
          <w:szCs w:val="24"/>
          <w:lang w:val="en-GB"/>
        </w:rPr>
        <w:t>Behavior</w:t>
      </w:r>
      <w:proofErr w:type="spellEnd"/>
      <w:r w:rsidRPr="00F915A7">
        <w:rPr>
          <w:i/>
          <w:iCs/>
          <w:color w:val="9A0203"/>
          <w:sz w:val="24"/>
          <w:szCs w:val="24"/>
          <w:lang w:val="en-GB"/>
        </w:rPr>
        <w:t xml:space="preserve"> in Streaming and Subscription Fatigue</w:t>
      </w:r>
    </w:p>
    <w:p w14:paraId="127CF608"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 xml:space="preserve">Consumer </w:t>
      </w:r>
      <w:proofErr w:type="spellStart"/>
      <w:r w:rsidRPr="00F915A7">
        <w:rPr>
          <w:color w:val="231F20"/>
          <w:sz w:val="24"/>
          <w:szCs w:val="24"/>
          <w:lang w:val="en-GB"/>
        </w:rPr>
        <w:t>behavior</w:t>
      </w:r>
      <w:proofErr w:type="spellEnd"/>
      <w:r w:rsidRPr="00F915A7">
        <w:rPr>
          <w:color w:val="231F20"/>
          <w:sz w:val="24"/>
          <w:szCs w:val="24"/>
          <w:lang w:val="en-GB"/>
        </w:rPr>
        <w:t xml:space="preserve"> (Dichter, 1960; Kyrk, 1923) is a critical factor in the viability of AVOD (Advertising-based Video on Demand) and HVOD models. Subscription fatigue—the phenomenon where users feel overwhelmed by the sheer number and cumulative cost of multiple subscriptions—leads them to cancel services or seek more affordable alternatives. This has emerged as a primary driver behind the shift from VOD to AVOD.</w:t>
      </w:r>
    </w:p>
    <w:p w14:paraId="5EF75C95"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52A7AB80"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Consumers exhibit varying levels of price sensitivity. While some are willing to pay a premium price for an ad-free experience, others prioritize lower costs, even if it means viewing advertisements. This "willingness to pay" for the absence of commercials serves as a key indicator of a user's overall tolerance for advertising.</w:t>
      </w:r>
    </w:p>
    <w:p w14:paraId="056B3282"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7C7D5301" w14:textId="77777777" w:rsidR="00466A15" w:rsidRPr="00F915A7" w:rsidRDefault="00000000">
      <w:pPr>
        <w:spacing w:line="276" w:lineRule="auto"/>
        <w:ind w:left="426" w:right="370"/>
        <w:jc w:val="both"/>
        <w:rPr>
          <w:i/>
          <w:iCs/>
          <w:color w:val="9A0203"/>
          <w:sz w:val="24"/>
          <w:szCs w:val="24"/>
          <w:lang w:val="en-GB"/>
        </w:rPr>
      </w:pPr>
      <w:r w:rsidRPr="00F915A7">
        <w:rPr>
          <w:i/>
          <w:iCs/>
          <w:color w:val="9A0203"/>
          <w:sz w:val="24"/>
          <w:szCs w:val="24"/>
          <w:lang w:val="en-GB"/>
        </w:rPr>
        <w:t>2.4. Competitive Landscape and Market Strategies</w:t>
      </w:r>
    </w:p>
    <w:p w14:paraId="6EE64CE4" w14:textId="77777777" w:rsidR="00466A15" w:rsidRPr="00F915A7" w:rsidRDefault="00466A15">
      <w:pPr>
        <w:spacing w:line="276" w:lineRule="auto"/>
        <w:ind w:left="426" w:right="370"/>
        <w:jc w:val="both"/>
        <w:rPr>
          <w:i/>
          <w:iCs/>
          <w:color w:val="9A0203"/>
          <w:sz w:val="24"/>
          <w:szCs w:val="24"/>
          <w:lang w:val="en-GB"/>
        </w:rPr>
      </w:pPr>
    </w:p>
    <w:p w14:paraId="1420A6AA" w14:textId="77777777" w:rsidR="00466A15" w:rsidRPr="00F915A7" w:rsidRDefault="00000000">
      <w:pPr>
        <w:spacing w:line="276" w:lineRule="auto"/>
        <w:ind w:left="426" w:right="370"/>
        <w:jc w:val="both"/>
        <w:rPr>
          <w:color w:val="000000"/>
          <w:sz w:val="24"/>
          <w:szCs w:val="24"/>
          <w:lang w:val="en-GB"/>
        </w:rPr>
      </w:pPr>
      <w:r w:rsidRPr="00F915A7">
        <w:rPr>
          <w:color w:val="000000"/>
          <w:sz w:val="24"/>
          <w:szCs w:val="24"/>
          <w:lang w:val="en-GB"/>
        </w:rPr>
        <w:t>Competition within the streaming industry is structured as a "bundle" of decisions where price is only one variable. First, exclusivity—achieved through original productions, franchise licensing, and intellectual property—acts as both a barrier to substitution and a differentiation tool, which raises the perceived value of the service. Second, bundling (the integration with other services, channels, or commerce/entertainment ecosystems) helps mitigate churn and increase ARPU (Average Revenue Per User). Third, live events—such as sports, including boxing matches, reality shows, or simultaneous premieres—increase watch time and expand ad inventory, directly impacting the monetization of HVOD.</w:t>
      </w:r>
    </w:p>
    <w:p w14:paraId="43A68786" w14:textId="77777777" w:rsidR="00466A15" w:rsidRPr="00F915A7" w:rsidRDefault="00466A15">
      <w:pPr>
        <w:spacing w:line="276" w:lineRule="auto"/>
        <w:ind w:left="426" w:right="370"/>
        <w:jc w:val="both"/>
        <w:rPr>
          <w:color w:val="000000"/>
          <w:sz w:val="24"/>
          <w:szCs w:val="24"/>
          <w:lang w:val="en-GB"/>
        </w:rPr>
      </w:pPr>
    </w:p>
    <w:p w14:paraId="66A9E942" w14:textId="77777777" w:rsidR="00466A15" w:rsidRPr="00F915A7" w:rsidRDefault="00000000">
      <w:pPr>
        <w:spacing w:line="276" w:lineRule="auto"/>
        <w:ind w:left="426" w:right="370"/>
        <w:jc w:val="both"/>
        <w:rPr>
          <w:sz w:val="24"/>
          <w:szCs w:val="24"/>
          <w:lang w:val="en-GB"/>
        </w:rPr>
      </w:pPr>
      <w:r w:rsidRPr="00F915A7">
        <w:rPr>
          <w:color w:val="000000"/>
          <w:sz w:val="24"/>
          <w:szCs w:val="24"/>
          <w:lang w:val="en-GB"/>
        </w:rPr>
        <w:t xml:space="preserve">Finally, in increasingly fragmented markets, niche competition is emerging where brand building and editorial content curation become comparative advantages. Less mainstream platforms, such as </w:t>
      </w:r>
      <w:proofErr w:type="spellStart"/>
      <w:r w:rsidRPr="00F915A7">
        <w:rPr>
          <w:color w:val="000000"/>
          <w:sz w:val="24"/>
          <w:szCs w:val="24"/>
          <w:lang w:val="en-GB"/>
        </w:rPr>
        <w:t>Filmin</w:t>
      </w:r>
      <w:proofErr w:type="spellEnd"/>
      <w:r w:rsidRPr="00F915A7">
        <w:rPr>
          <w:color w:val="000000"/>
          <w:sz w:val="24"/>
          <w:szCs w:val="24"/>
          <w:lang w:val="en-GB"/>
        </w:rPr>
        <w:t xml:space="preserve">, demonstrate that </w:t>
      </w:r>
      <w:r w:rsidRPr="00F915A7">
        <w:rPr>
          <w:color w:val="000000"/>
          <w:sz w:val="24"/>
          <w:szCs w:val="24"/>
          <w:lang w:val="en-GB"/>
        </w:rPr>
        <w:lastRenderedPageBreak/>
        <w:t xml:space="preserve">differentiation can be based on expert recommendations, specialized </w:t>
      </w:r>
      <w:proofErr w:type="spellStart"/>
      <w:r w:rsidRPr="00F915A7">
        <w:rPr>
          <w:color w:val="000000"/>
          <w:sz w:val="24"/>
          <w:szCs w:val="24"/>
          <w:lang w:val="en-GB"/>
        </w:rPr>
        <w:t>catalogs</w:t>
      </w:r>
      <w:proofErr w:type="spellEnd"/>
      <w:r w:rsidRPr="00F915A7">
        <w:rPr>
          <w:color w:val="000000"/>
          <w:sz w:val="24"/>
          <w:szCs w:val="24"/>
          <w:lang w:val="en-GB"/>
        </w:rPr>
        <w:t>, and cultural positioning rather than sheer scale. These strategies are crucial for understanding why AVOD/HVOD does not lead to total homogenization: even with similar pricing, platforms continue to compete for attention, brand identity, and audience segmentation.</w:t>
      </w:r>
    </w:p>
    <w:p w14:paraId="1F66710E" w14:textId="77777777" w:rsidR="00466A15" w:rsidRPr="00F915A7" w:rsidRDefault="00466A15">
      <w:pPr>
        <w:spacing w:line="276" w:lineRule="auto"/>
        <w:ind w:left="426" w:right="370"/>
        <w:jc w:val="both"/>
        <w:rPr>
          <w:sz w:val="24"/>
          <w:szCs w:val="24"/>
          <w:lang w:val="en-GB"/>
        </w:rPr>
      </w:pPr>
    </w:p>
    <w:p w14:paraId="380BE507" w14:textId="77777777" w:rsidR="00466A15" w:rsidRPr="00F915A7" w:rsidRDefault="00000000">
      <w:pPr>
        <w:widowControl/>
        <w:pBdr>
          <w:top w:val="nil"/>
          <w:left w:val="nil"/>
          <w:bottom w:val="nil"/>
          <w:right w:val="nil"/>
          <w:between w:val="nil"/>
        </w:pBdr>
        <w:spacing w:after="80"/>
        <w:ind w:left="426" w:right="370"/>
        <w:jc w:val="center"/>
        <w:rPr>
          <w:color w:val="231F20"/>
          <w:sz w:val="20"/>
          <w:szCs w:val="20"/>
          <w:lang w:val="en-GB"/>
        </w:rPr>
      </w:pPr>
      <w:r w:rsidRPr="00F915A7">
        <w:rPr>
          <w:lang w:val="en-GB"/>
        </w:rPr>
        <w:t>Figure 1. The Big 4 Platforms in Spain</w:t>
      </w:r>
      <w:r>
        <w:rPr>
          <w:rFonts w:ascii="EB Garamond" w:eastAsia="EB Garamond" w:hAnsi="EB Garamond" w:cs="EB Garamond"/>
          <w:noProof/>
          <w:color w:val="231F20"/>
          <w:sz w:val="20"/>
          <w:szCs w:val="20"/>
        </w:rPr>
        <w:drawing>
          <wp:inline distT="0" distB="0" distL="0" distR="0" wp14:anchorId="4E77EC92" wp14:editId="69BB833D">
            <wp:extent cx="4826000" cy="2691765"/>
            <wp:effectExtent l="0" t="0" r="0" b="0"/>
            <wp:docPr id="2090919767" name="image1.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Gráfico&#10;&#10;El contenido generado por IA puede ser incorrecto."/>
                    <pic:cNvPicPr preferRelativeResize="0"/>
                  </pic:nvPicPr>
                  <pic:blipFill>
                    <a:blip r:embed="rId17"/>
                    <a:srcRect/>
                    <a:stretch>
                      <a:fillRect/>
                    </a:stretch>
                  </pic:blipFill>
                  <pic:spPr>
                    <a:xfrm>
                      <a:off x="0" y="0"/>
                      <a:ext cx="4826000" cy="2691765"/>
                    </a:xfrm>
                    <a:prstGeom prst="rect">
                      <a:avLst/>
                    </a:prstGeom>
                    <a:ln/>
                  </pic:spPr>
                </pic:pic>
              </a:graphicData>
            </a:graphic>
          </wp:inline>
        </w:drawing>
      </w:r>
    </w:p>
    <w:p w14:paraId="3B5E0733" w14:textId="77777777" w:rsidR="00466A15" w:rsidRPr="00F915A7" w:rsidRDefault="00000000">
      <w:pPr>
        <w:widowControl/>
        <w:pBdr>
          <w:top w:val="nil"/>
          <w:left w:val="nil"/>
          <w:bottom w:val="nil"/>
          <w:right w:val="nil"/>
          <w:between w:val="nil"/>
        </w:pBdr>
        <w:spacing w:after="80"/>
        <w:ind w:left="426" w:right="370"/>
        <w:jc w:val="center"/>
        <w:rPr>
          <w:lang w:val="en-GB"/>
        </w:rPr>
      </w:pPr>
      <w:r w:rsidRPr="00F915A7">
        <w:rPr>
          <w:lang w:val="en-GB"/>
        </w:rPr>
        <w:t>Source: Own elaboration</w:t>
      </w:r>
    </w:p>
    <w:p w14:paraId="2146F836" w14:textId="77777777" w:rsidR="00466A15" w:rsidRPr="00F915A7" w:rsidRDefault="00466A15">
      <w:pPr>
        <w:widowControl/>
        <w:pBdr>
          <w:top w:val="nil"/>
          <w:left w:val="nil"/>
          <w:bottom w:val="nil"/>
          <w:right w:val="nil"/>
          <w:between w:val="nil"/>
        </w:pBdr>
        <w:spacing w:after="80"/>
        <w:ind w:left="426" w:right="370"/>
        <w:jc w:val="center"/>
        <w:rPr>
          <w:color w:val="231F20"/>
          <w:sz w:val="16"/>
          <w:szCs w:val="16"/>
          <w:lang w:val="en-GB"/>
        </w:rPr>
      </w:pPr>
    </w:p>
    <w:p w14:paraId="3AACEA70" w14:textId="77777777" w:rsidR="00466A15" w:rsidRPr="00F915A7" w:rsidRDefault="00000000">
      <w:pPr>
        <w:widowControl/>
        <w:pBdr>
          <w:top w:val="nil"/>
          <w:left w:val="nil"/>
          <w:bottom w:val="nil"/>
          <w:right w:val="nil"/>
          <w:between w:val="nil"/>
        </w:pBdr>
        <w:spacing w:after="80"/>
        <w:ind w:left="426" w:right="370"/>
        <w:jc w:val="both"/>
        <w:rPr>
          <w:i/>
          <w:iCs/>
          <w:color w:val="9A0203"/>
          <w:sz w:val="24"/>
          <w:szCs w:val="24"/>
          <w:lang w:val="en-GB"/>
        </w:rPr>
      </w:pPr>
      <w:r w:rsidRPr="00F915A7">
        <w:rPr>
          <w:i/>
          <w:iCs/>
          <w:color w:val="9A0203"/>
          <w:sz w:val="24"/>
          <w:szCs w:val="24"/>
          <w:lang w:val="en-GB"/>
        </w:rPr>
        <w:t>2.5. Platform Capitalism and Data-Driven Monetization</w:t>
      </w:r>
    </w:p>
    <w:p w14:paraId="16AA94B8" w14:textId="77777777" w:rsidR="00466A15" w:rsidRPr="00F915A7" w:rsidRDefault="00466A15">
      <w:pPr>
        <w:widowControl/>
        <w:pBdr>
          <w:top w:val="nil"/>
          <w:left w:val="nil"/>
          <w:bottom w:val="nil"/>
          <w:right w:val="nil"/>
          <w:between w:val="nil"/>
        </w:pBdr>
        <w:spacing w:after="80"/>
        <w:ind w:left="426" w:right="370"/>
        <w:jc w:val="both"/>
        <w:rPr>
          <w:i/>
          <w:iCs/>
          <w:color w:val="9A0203"/>
          <w:sz w:val="24"/>
          <w:szCs w:val="24"/>
          <w:lang w:val="en-GB"/>
        </w:rPr>
      </w:pPr>
    </w:p>
    <w:p w14:paraId="29181C01"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 xml:space="preserve">The rise of streaming is rooted in the logic of "platform capitalism" (Srnicek, 2016), an emerging form of economic organization based on the extraction and control of data through digital infrastructures. This model prioritizes scalability and monetization driven by data and periodically evolving algorithms. Platforms accumulate vast amounts of data regarding user </w:t>
      </w:r>
      <w:proofErr w:type="spellStart"/>
      <w:r w:rsidRPr="00F915A7">
        <w:rPr>
          <w:color w:val="231F20"/>
          <w:sz w:val="24"/>
          <w:szCs w:val="24"/>
          <w:lang w:val="en-GB"/>
        </w:rPr>
        <w:t>behavior</w:t>
      </w:r>
      <w:proofErr w:type="spellEnd"/>
      <w:r w:rsidRPr="00F915A7">
        <w:rPr>
          <w:color w:val="231F20"/>
          <w:sz w:val="24"/>
          <w:szCs w:val="24"/>
          <w:lang w:val="en-GB"/>
        </w:rPr>
        <w:t xml:space="preserve">, allowing them to optimize content recommendations while simultaneously adding value by segmenting advertising more effectively. This capacity for ad personalization represents a key draw for advertisers, who seek to reach specific, almost individualized audiences. The value of these platforms lies as much in their content </w:t>
      </w:r>
      <w:proofErr w:type="spellStart"/>
      <w:r w:rsidRPr="00F915A7">
        <w:rPr>
          <w:color w:val="231F20"/>
          <w:sz w:val="24"/>
          <w:szCs w:val="24"/>
          <w:lang w:val="en-GB"/>
        </w:rPr>
        <w:t>catalog</w:t>
      </w:r>
      <w:proofErr w:type="spellEnd"/>
      <w:r w:rsidRPr="00F915A7">
        <w:rPr>
          <w:color w:val="231F20"/>
          <w:sz w:val="24"/>
          <w:szCs w:val="24"/>
          <w:lang w:val="en-GB"/>
        </w:rPr>
        <w:t xml:space="preserve"> as in their ability to act as intermediaries between creators, advertisers, and consumers. The </w:t>
      </w:r>
      <w:r w:rsidRPr="00F915A7">
        <w:rPr>
          <w:color w:val="231F20"/>
          <w:sz w:val="24"/>
          <w:szCs w:val="24"/>
          <w:lang w:val="en-GB"/>
        </w:rPr>
        <w:lastRenderedPageBreak/>
        <w:t>introduction of advertising marks a further step in the exploitation of available user information to generate economic value.</w:t>
      </w:r>
    </w:p>
    <w:p w14:paraId="1CF71EF1" w14:textId="77777777" w:rsidR="00466A15" w:rsidRPr="00F915A7" w:rsidRDefault="00466A15">
      <w:pPr>
        <w:widowControl/>
        <w:pBdr>
          <w:top w:val="nil"/>
          <w:left w:val="nil"/>
          <w:bottom w:val="nil"/>
          <w:right w:val="nil"/>
          <w:between w:val="nil"/>
        </w:pBdr>
        <w:spacing w:after="80"/>
        <w:ind w:left="426" w:right="370"/>
        <w:jc w:val="both"/>
        <w:rPr>
          <w:color w:val="231F20"/>
          <w:sz w:val="20"/>
          <w:szCs w:val="20"/>
          <w:lang w:val="en-GB"/>
        </w:rPr>
      </w:pPr>
    </w:p>
    <w:p w14:paraId="4F6ACF74" w14:textId="77777777" w:rsidR="00466A15" w:rsidRPr="00F915A7" w:rsidRDefault="00000000">
      <w:pPr>
        <w:pStyle w:val="Ttulo2"/>
        <w:widowControl/>
        <w:rPr>
          <w:lang w:val="en-GB"/>
        </w:rPr>
      </w:pPr>
      <w:bookmarkStart w:id="2" w:name="_heading=h.25pomql4ijkx" w:colFirst="0" w:colLast="0"/>
      <w:bookmarkEnd w:id="2"/>
      <w:r w:rsidRPr="00F915A7">
        <w:rPr>
          <w:lang w:val="en-GB"/>
        </w:rPr>
        <w:t>3. Methodology</w:t>
      </w:r>
    </w:p>
    <w:p w14:paraId="4FA56F0E"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18A244BB"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This study adopts a qualitative approach based on case studies of the leading streaming platforms: Netflix, Prime Video, Disney+, and HBO Max. A documentary review and content analysis methodology is employed, comparing economic and strategic data across the four platforms and integrating publicly available quantitative data to support the analysis.</w:t>
      </w:r>
    </w:p>
    <w:p w14:paraId="243368D7"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6349CEB4" w14:textId="77777777" w:rsidR="00466A15" w:rsidRPr="00F915A7" w:rsidRDefault="00000000">
      <w:pPr>
        <w:widowControl/>
        <w:pBdr>
          <w:top w:val="nil"/>
          <w:left w:val="nil"/>
          <w:bottom w:val="nil"/>
          <w:right w:val="nil"/>
          <w:between w:val="nil"/>
        </w:pBdr>
        <w:spacing w:after="80"/>
        <w:ind w:left="426" w:right="370"/>
        <w:jc w:val="both"/>
        <w:rPr>
          <w:i/>
          <w:iCs/>
          <w:color w:val="9A0203"/>
          <w:sz w:val="24"/>
          <w:szCs w:val="24"/>
          <w:lang w:val="en-GB"/>
        </w:rPr>
      </w:pPr>
      <w:r w:rsidRPr="00F915A7">
        <w:rPr>
          <w:i/>
          <w:iCs/>
          <w:color w:val="9A0203"/>
          <w:sz w:val="24"/>
          <w:szCs w:val="24"/>
          <w:lang w:val="en-GB"/>
        </w:rPr>
        <w:t>3.0. Justification for Case Selection and Comparison Criteria</w:t>
      </w:r>
    </w:p>
    <w:p w14:paraId="218BBDFD"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Netflix, Prime Video, Disney+, and HBO Max were selected for three reasons: (</w:t>
      </w:r>
      <w:proofErr w:type="spellStart"/>
      <w:r w:rsidRPr="00F915A7">
        <w:rPr>
          <w:color w:val="231F20"/>
          <w:sz w:val="24"/>
          <w:szCs w:val="24"/>
          <w:lang w:val="en-GB"/>
        </w:rPr>
        <w:t>i</w:t>
      </w:r>
      <w:proofErr w:type="spellEnd"/>
      <w:r w:rsidRPr="00F915A7">
        <w:rPr>
          <w:color w:val="231F20"/>
          <w:sz w:val="24"/>
          <w:szCs w:val="24"/>
          <w:lang w:val="en-GB"/>
        </w:rPr>
        <w:t>) they represent benchmark players in Western markets and account for a substantial portion of on-demand consumption; (ii) they display different corporate architectures (pure player vs. conglomerates) that influence monetization; and (iii) they offer comparable public evidence (investor documentation, official press releases, and industry coverage), which is essential for a replicable documentary analysis.</w:t>
      </w:r>
    </w:p>
    <w:p w14:paraId="09044A49"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04A28EEA"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 xml:space="preserve">The qualitative approach is adopted because the object of study is the strategic logic behind the transition from SVOD to AVOD/HVOD models and its articulation with pricing, </w:t>
      </w:r>
      <w:proofErr w:type="spellStart"/>
      <w:r w:rsidRPr="00F915A7">
        <w:rPr>
          <w:color w:val="231F20"/>
          <w:sz w:val="24"/>
          <w:szCs w:val="24"/>
          <w:lang w:val="en-GB"/>
        </w:rPr>
        <w:t>catalog</w:t>
      </w:r>
      <w:proofErr w:type="spellEnd"/>
      <w:r w:rsidRPr="00F915A7">
        <w:rPr>
          <w:color w:val="231F20"/>
          <w:sz w:val="24"/>
          <w:szCs w:val="24"/>
          <w:lang w:val="en-GB"/>
        </w:rPr>
        <w:t>, and ad sales decisions—dimensions that require contextual interpretation and triangulation. To reduce bias, the study utilizes homogeneous comparison criteria: plan structure (with/without ads), price levels, rollout milestones, corporate narrative on monetization, and available public metrics (revenue, margin, ARPU indicators, ad-plan adoption signals, and the evolution of the advertising business).</w:t>
      </w:r>
    </w:p>
    <w:p w14:paraId="6B5169EB"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2D593E14" w14:textId="77777777" w:rsidR="00466A15" w:rsidRPr="00F915A7" w:rsidRDefault="00000000">
      <w:pPr>
        <w:widowControl/>
        <w:pBdr>
          <w:top w:val="nil"/>
          <w:left w:val="nil"/>
          <w:bottom w:val="nil"/>
          <w:right w:val="nil"/>
          <w:between w:val="nil"/>
        </w:pBdr>
        <w:spacing w:after="80"/>
        <w:ind w:left="426" w:right="370"/>
        <w:jc w:val="both"/>
        <w:rPr>
          <w:i/>
          <w:iCs/>
          <w:color w:val="9A0203"/>
          <w:sz w:val="24"/>
          <w:szCs w:val="24"/>
          <w:lang w:val="en-GB"/>
        </w:rPr>
      </w:pPr>
      <w:r w:rsidRPr="00F915A7">
        <w:rPr>
          <w:i/>
          <w:iCs/>
          <w:color w:val="9A0203"/>
          <w:sz w:val="24"/>
          <w:szCs w:val="24"/>
          <w:lang w:val="en-GB"/>
        </w:rPr>
        <w:t>3.1. Data Sources</w:t>
      </w:r>
    </w:p>
    <w:p w14:paraId="53AF59B5" w14:textId="77777777" w:rsidR="00466A15" w:rsidRPr="00F915A7" w:rsidRDefault="00466A15">
      <w:pPr>
        <w:widowControl/>
        <w:pBdr>
          <w:top w:val="nil"/>
          <w:left w:val="nil"/>
          <w:bottom w:val="nil"/>
          <w:right w:val="nil"/>
          <w:between w:val="nil"/>
        </w:pBdr>
        <w:spacing w:after="80"/>
        <w:ind w:left="426" w:right="370"/>
        <w:jc w:val="both"/>
        <w:rPr>
          <w:i/>
          <w:iCs/>
          <w:color w:val="9A0203"/>
          <w:sz w:val="24"/>
          <w:szCs w:val="24"/>
          <w:lang w:val="en-GB"/>
        </w:rPr>
      </w:pPr>
    </w:p>
    <w:p w14:paraId="091169CC"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The data sources included are varied and consist of the following:</w:t>
      </w:r>
    </w:p>
    <w:p w14:paraId="7C145FF1"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34B1A088"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lastRenderedPageBreak/>
        <w:t xml:space="preserve">Audiovisual industry reports such as GECA (2025), </w:t>
      </w:r>
      <w:proofErr w:type="spellStart"/>
      <w:r w:rsidRPr="00F915A7">
        <w:rPr>
          <w:color w:val="231F20"/>
          <w:sz w:val="24"/>
          <w:szCs w:val="24"/>
          <w:lang w:val="en-GB"/>
        </w:rPr>
        <w:t>Barlovento</w:t>
      </w:r>
      <w:proofErr w:type="spellEnd"/>
      <w:r w:rsidRPr="00F915A7">
        <w:rPr>
          <w:color w:val="231F20"/>
          <w:sz w:val="24"/>
          <w:szCs w:val="24"/>
          <w:lang w:val="en-GB"/>
        </w:rPr>
        <w:t xml:space="preserve"> </w:t>
      </w:r>
      <w:proofErr w:type="spellStart"/>
      <w:r w:rsidRPr="00F915A7">
        <w:rPr>
          <w:color w:val="231F20"/>
          <w:sz w:val="24"/>
          <w:szCs w:val="24"/>
          <w:lang w:val="en-GB"/>
        </w:rPr>
        <w:t>Comunicación</w:t>
      </w:r>
      <w:proofErr w:type="spellEnd"/>
      <w:r w:rsidRPr="00F915A7">
        <w:rPr>
          <w:color w:val="231F20"/>
          <w:sz w:val="24"/>
          <w:szCs w:val="24"/>
          <w:lang w:val="en-GB"/>
        </w:rPr>
        <w:t xml:space="preserve"> (2025), AMI (2023), and Digital TV Research (2021). These reports provide market data, AVOD revenue growth projections, and audiovisual consumption trends across various regions.</w:t>
      </w:r>
    </w:p>
    <w:p w14:paraId="1D683E2D"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432603BD"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Regarding academic literature, previous studies on SVOD-AVOD transitions have been reviewed, alongside works addressing streaming platform consumption, media economics, and platform capitalism. Authors such as Agustín and Gómez (2021), Fernández-Gómez et al., Hesmondhalgh (2019), and Srnicek (2017) contribute to this purpose. Other notable references are also integrated (Cortés-Quesada et al., 2024; Fernández; García Chamizo et al., 2023; Jiménez and Peralta, 2022; Neira, 2020).</w:t>
      </w:r>
    </w:p>
    <w:p w14:paraId="246A36C3"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19C3AD29"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 xml:space="preserve">Furthermore, various financial reports and official press releases from the parent companies of the four platforms (Netflix, The Walt Disney Company, Warner Bros. Discovery, Amazon) are utilized. Quarterly and annual earnings reports from these companies have been </w:t>
      </w:r>
      <w:proofErr w:type="spellStart"/>
      <w:r w:rsidRPr="00F915A7">
        <w:rPr>
          <w:color w:val="231F20"/>
          <w:sz w:val="24"/>
          <w:szCs w:val="24"/>
          <w:lang w:val="en-GB"/>
        </w:rPr>
        <w:t>analyzed</w:t>
      </w:r>
      <w:proofErr w:type="spellEnd"/>
      <w:r w:rsidRPr="00F915A7">
        <w:rPr>
          <w:color w:val="231F20"/>
          <w:sz w:val="24"/>
          <w:szCs w:val="24"/>
          <w:lang w:val="en-GB"/>
        </w:rPr>
        <w:t>. These documents provide data on their revenue, subscriber numbers, and corporate strategies aimed at attracting shareholders.</w:t>
      </w:r>
    </w:p>
    <w:p w14:paraId="02D6BAF7"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02CF4AA2" w14:textId="77777777" w:rsidR="00466A15" w:rsidRDefault="00000000">
      <w:pPr>
        <w:widowControl/>
        <w:pBdr>
          <w:top w:val="nil"/>
          <w:left w:val="nil"/>
          <w:bottom w:val="nil"/>
          <w:right w:val="nil"/>
          <w:between w:val="nil"/>
        </w:pBdr>
        <w:spacing w:after="80"/>
        <w:ind w:left="426" w:right="370"/>
        <w:jc w:val="both"/>
        <w:rPr>
          <w:color w:val="231F20"/>
          <w:sz w:val="24"/>
          <w:szCs w:val="24"/>
        </w:rPr>
      </w:pPr>
      <w:r w:rsidRPr="00F915A7">
        <w:rPr>
          <w:color w:val="231F20"/>
          <w:sz w:val="24"/>
          <w:szCs w:val="24"/>
          <w:lang w:val="en-GB"/>
        </w:rPr>
        <w:t xml:space="preserve">Similarly, specialized press and industry articles are included, featuring sectoral publications and economic and technology news articles that cover the latest trends and strategic decisions of the platforms. </w:t>
      </w:r>
      <w:proofErr w:type="spellStart"/>
      <w:r>
        <w:rPr>
          <w:color w:val="231F20"/>
          <w:sz w:val="24"/>
          <w:szCs w:val="24"/>
        </w:rPr>
        <w:t>Examples</w:t>
      </w:r>
      <w:proofErr w:type="spellEnd"/>
      <w:r>
        <w:rPr>
          <w:color w:val="231F20"/>
          <w:sz w:val="24"/>
          <w:szCs w:val="24"/>
        </w:rPr>
        <w:t xml:space="preserve"> </w:t>
      </w:r>
      <w:proofErr w:type="spellStart"/>
      <w:r>
        <w:rPr>
          <w:color w:val="231F20"/>
          <w:sz w:val="24"/>
          <w:szCs w:val="24"/>
        </w:rPr>
        <w:t>include</w:t>
      </w:r>
      <w:proofErr w:type="spellEnd"/>
      <w:r>
        <w:rPr>
          <w:color w:val="231F20"/>
          <w:sz w:val="24"/>
          <w:szCs w:val="24"/>
        </w:rPr>
        <w:t xml:space="preserve"> DPL News (González, 2022) and </w:t>
      </w:r>
      <w:r>
        <w:rPr>
          <w:i/>
          <w:iCs/>
          <w:color w:val="231F20"/>
          <w:sz w:val="24"/>
          <w:szCs w:val="24"/>
        </w:rPr>
        <w:t>El País</w:t>
      </w:r>
      <w:r>
        <w:rPr>
          <w:color w:val="231F20"/>
          <w:sz w:val="24"/>
          <w:szCs w:val="24"/>
        </w:rPr>
        <w:t xml:space="preserve"> (León García, 2023).</w:t>
      </w:r>
    </w:p>
    <w:p w14:paraId="656EE578" w14:textId="77777777" w:rsidR="00466A15" w:rsidRDefault="00466A15">
      <w:pPr>
        <w:widowControl/>
        <w:pBdr>
          <w:top w:val="nil"/>
          <w:left w:val="nil"/>
          <w:bottom w:val="nil"/>
          <w:right w:val="nil"/>
          <w:between w:val="nil"/>
        </w:pBdr>
        <w:spacing w:after="80"/>
        <w:ind w:left="426" w:right="370"/>
        <w:jc w:val="both"/>
        <w:rPr>
          <w:i/>
          <w:iCs/>
          <w:color w:val="9A0203"/>
          <w:sz w:val="24"/>
          <w:szCs w:val="24"/>
        </w:rPr>
      </w:pPr>
    </w:p>
    <w:p w14:paraId="6A661B68" w14:textId="77777777" w:rsidR="00466A15" w:rsidRPr="00F915A7" w:rsidRDefault="00000000">
      <w:pPr>
        <w:widowControl/>
        <w:pBdr>
          <w:top w:val="nil"/>
          <w:left w:val="nil"/>
          <w:bottom w:val="nil"/>
          <w:right w:val="nil"/>
          <w:between w:val="nil"/>
        </w:pBdr>
        <w:spacing w:after="80"/>
        <w:ind w:left="426" w:right="370"/>
        <w:jc w:val="both"/>
        <w:rPr>
          <w:i/>
          <w:iCs/>
          <w:color w:val="9A0203"/>
          <w:sz w:val="24"/>
          <w:szCs w:val="24"/>
          <w:lang w:val="en-GB"/>
        </w:rPr>
      </w:pPr>
      <w:r w:rsidRPr="00F915A7">
        <w:rPr>
          <w:i/>
          <w:iCs/>
          <w:color w:val="9A0203"/>
          <w:sz w:val="24"/>
          <w:szCs w:val="24"/>
          <w:lang w:val="en-GB"/>
        </w:rPr>
        <w:t>3.2. Units of Analysis</w:t>
      </w:r>
    </w:p>
    <w:p w14:paraId="6A364FC7"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 xml:space="preserve">The primary units of analysis are the four leading streaming platforms that, over the last 3 years, have implemented or significantly expanded their business models to include advertising: Netflix, Prime Video, Disney+, and HBO Max. The study specifically </w:t>
      </w:r>
      <w:proofErr w:type="spellStart"/>
      <w:r w:rsidRPr="00F915A7">
        <w:rPr>
          <w:color w:val="231F20"/>
          <w:sz w:val="24"/>
          <w:szCs w:val="24"/>
          <w:lang w:val="en-GB"/>
        </w:rPr>
        <w:t>analyzes</w:t>
      </w:r>
      <w:proofErr w:type="spellEnd"/>
      <w:r w:rsidRPr="00F915A7">
        <w:rPr>
          <w:color w:val="231F20"/>
          <w:sz w:val="24"/>
          <w:szCs w:val="24"/>
          <w:lang w:val="en-GB"/>
        </w:rPr>
        <w:t xml:space="preserve"> their ad-supported offerings and how they integrate them into their broader strategies.</w:t>
      </w:r>
    </w:p>
    <w:p w14:paraId="409F6DD1"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3F44D3AD" w14:textId="77777777" w:rsidR="00466A15" w:rsidRPr="00F915A7" w:rsidRDefault="00000000">
      <w:pPr>
        <w:widowControl/>
        <w:pBdr>
          <w:top w:val="nil"/>
          <w:left w:val="nil"/>
          <w:bottom w:val="nil"/>
          <w:right w:val="nil"/>
          <w:between w:val="nil"/>
        </w:pBdr>
        <w:spacing w:after="80"/>
        <w:ind w:left="426" w:right="370"/>
        <w:jc w:val="both"/>
        <w:rPr>
          <w:i/>
          <w:iCs/>
          <w:color w:val="9A0203"/>
          <w:sz w:val="24"/>
          <w:szCs w:val="24"/>
          <w:lang w:val="en-GB"/>
        </w:rPr>
      </w:pPr>
      <w:r w:rsidRPr="00F915A7">
        <w:rPr>
          <w:i/>
          <w:iCs/>
          <w:color w:val="9A0203"/>
          <w:sz w:val="24"/>
          <w:szCs w:val="24"/>
          <w:lang w:val="en-GB"/>
        </w:rPr>
        <w:t>3.3. Study Period</w:t>
      </w:r>
    </w:p>
    <w:p w14:paraId="4E796B23"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 xml:space="preserve">The study focuses on the period starting from 2022—a key turning point when Netflix announced its ad-supported plan—up through the first half of 2025, following the publication of the platforms' financial results. </w:t>
      </w:r>
      <w:r w:rsidRPr="00F915A7">
        <w:rPr>
          <w:color w:val="231F20"/>
          <w:sz w:val="24"/>
          <w:szCs w:val="24"/>
          <w:lang w:val="en-GB"/>
        </w:rPr>
        <w:lastRenderedPageBreak/>
        <w:t>Additionally, the necessary historical context regarding industry evolution and business models since the inception of SVOD is provided.</w:t>
      </w:r>
    </w:p>
    <w:p w14:paraId="23100F02"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3.4. Analysis Methods</w:t>
      </w:r>
    </w:p>
    <w:p w14:paraId="3A1C8BC8"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The study's analytical framework adapts the model proposed by Agustín and Gómez (2021), which evaluates content strategies, pricing, and market positioning. The following methods will be applied:</w:t>
      </w:r>
    </w:p>
    <w:p w14:paraId="742B3924"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393C10D7"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Content Analysis: Reports, press releases, and articles have been examined to identify patterns, strategies, and key discourses related to monetization and advertising.</w:t>
      </w:r>
    </w:p>
    <w:p w14:paraId="505EDE33"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627F190D"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Economic Trend Analysis: Trends in advertising and subscription revenue, growth rates, and the relative contribution of each business model to the platforms' total revenue have been evaluated, with an emphasis on available data for the global and Spanish markets.</w:t>
      </w:r>
    </w:p>
    <w:p w14:paraId="40F0EF59"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761B0B2F"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Comparative Strategy Analysis: The different approaches of each platform toward implementing advertising have been compared in terms of ad load, personalization, and partnership models.</w:t>
      </w:r>
    </w:p>
    <w:p w14:paraId="068912D2"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53A3C8CC" w14:textId="77777777" w:rsidR="00466A15" w:rsidRPr="00F915A7" w:rsidRDefault="00000000">
      <w:pPr>
        <w:widowControl/>
        <w:pBdr>
          <w:top w:val="nil"/>
          <w:left w:val="nil"/>
          <w:bottom w:val="nil"/>
          <w:right w:val="nil"/>
          <w:between w:val="nil"/>
        </w:pBdr>
        <w:spacing w:after="80"/>
        <w:ind w:left="426" w:right="370"/>
        <w:jc w:val="both"/>
        <w:rPr>
          <w:color w:val="231F20"/>
          <w:sz w:val="24"/>
          <w:szCs w:val="24"/>
          <w:lang w:val="en-GB"/>
        </w:rPr>
      </w:pPr>
      <w:r w:rsidRPr="00F915A7">
        <w:rPr>
          <w:color w:val="231F20"/>
          <w:sz w:val="24"/>
          <w:szCs w:val="24"/>
          <w:lang w:val="en-GB"/>
        </w:rPr>
        <w:t>Secondary Data Interpretation: Numerical data from sources such as Statista, Ampere Analysis, Neeo, and</w:t>
      </w:r>
      <w:r w:rsidRPr="00F915A7">
        <w:rPr>
          <w:i/>
          <w:iCs/>
          <w:color w:val="231F20"/>
          <w:sz w:val="24"/>
          <w:szCs w:val="24"/>
          <w:lang w:val="en-GB"/>
        </w:rPr>
        <w:t xml:space="preserve"> El País</w:t>
      </w:r>
      <w:r w:rsidRPr="00F915A7">
        <w:rPr>
          <w:color w:val="231F20"/>
          <w:sz w:val="24"/>
          <w:szCs w:val="24"/>
          <w:lang w:val="en-GB"/>
        </w:rPr>
        <w:t xml:space="preserve"> (n.d.) have been interpreted to contextualize both qualitative and quantitative results. Figure 2 compares the contribution of ad-supported versus ad-free plans for each platform, globally and in Spain.</w:t>
      </w:r>
    </w:p>
    <w:p w14:paraId="4D5B1107" w14:textId="77777777" w:rsidR="00466A15" w:rsidRPr="00F915A7" w:rsidRDefault="00466A15">
      <w:pPr>
        <w:widowControl/>
        <w:pBdr>
          <w:top w:val="nil"/>
          <w:left w:val="nil"/>
          <w:bottom w:val="nil"/>
          <w:right w:val="nil"/>
          <w:between w:val="nil"/>
        </w:pBdr>
        <w:spacing w:after="80"/>
        <w:ind w:left="426" w:right="370"/>
        <w:jc w:val="both"/>
        <w:rPr>
          <w:color w:val="231F20"/>
          <w:sz w:val="24"/>
          <w:szCs w:val="24"/>
          <w:lang w:val="en-GB"/>
        </w:rPr>
      </w:pPr>
    </w:p>
    <w:p w14:paraId="39A907FE" w14:textId="77777777" w:rsidR="00466A15" w:rsidRPr="00F915A7" w:rsidRDefault="00000000">
      <w:pPr>
        <w:widowControl/>
        <w:pBdr>
          <w:top w:val="nil"/>
          <w:left w:val="nil"/>
          <w:bottom w:val="nil"/>
          <w:right w:val="nil"/>
          <w:between w:val="nil"/>
        </w:pBdr>
        <w:spacing w:after="80"/>
        <w:ind w:left="426" w:right="370"/>
        <w:jc w:val="center"/>
        <w:rPr>
          <w:color w:val="231F20"/>
          <w:lang w:val="en-GB"/>
        </w:rPr>
      </w:pPr>
      <w:r w:rsidRPr="00F915A7">
        <w:rPr>
          <w:lang w:val="en-GB"/>
        </w:rPr>
        <w:br w:type="page"/>
      </w:r>
    </w:p>
    <w:p w14:paraId="24A47BEF" w14:textId="77777777" w:rsidR="00466A15" w:rsidRPr="00F915A7" w:rsidRDefault="00000000">
      <w:pPr>
        <w:widowControl/>
        <w:pBdr>
          <w:top w:val="nil"/>
          <w:left w:val="nil"/>
          <w:bottom w:val="nil"/>
          <w:right w:val="nil"/>
          <w:between w:val="nil"/>
        </w:pBdr>
        <w:spacing w:after="80"/>
        <w:ind w:left="426" w:right="370"/>
        <w:jc w:val="center"/>
        <w:rPr>
          <w:color w:val="231F20"/>
          <w:lang w:val="en-GB"/>
        </w:rPr>
      </w:pPr>
      <w:r w:rsidRPr="00F915A7">
        <w:rPr>
          <w:color w:val="231F20"/>
          <w:lang w:val="en-GB"/>
        </w:rPr>
        <w:lastRenderedPageBreak/>
        <w:t>Figure 2. Revenue by subscription type on streaming platforms</w:t>
      </w:r>
    </w:p>
    <w:p w14:paraId="55333F70" w14:textId="77777777" w:rsidR="00466A15" w:rsidRDefault="00000000">
      <w:pPr>
        <w:widowControl/>
        <w:pBdr>
          <w:top w:val="nil"/>
          <w:left w:val="nil"/>
          <w:bottom w:val="nil"/>
          <w:right w:val="nil"/>
          <w:between w:val="nil"/>
        </w:pBdr>
        <w:spacing w:after="80"/>
        <w:rPr>
          <w:color w:val="000000"/>
          <w:sz w:val="20"/>
          <w:szCs w:val="20"/>
        </w:rPr>
      </w:pPr>
      <w:r>
        <w:rPr>
          <w:noProof/>
          <w:color w:val="000000"/>
          <w:sz w:val="20"/>
          <w:szCs w:val="20"/>
        </w:rPr>
        <w:drawing>
          <wp:inline distT="0" distB="0" distL="0" distR="0" wp14:anchorId="59A6B212" wp14:editId="6B0A407E">
            <wp:extent cx="4826000" cy="2891155"/>
            <wp:effectExtent l="0" t="0" r="0" b="0"/>
            <wp:docPr id="2090919769" name="image4.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Gráfico, Gráfico de barras&#10;&#10;El contenido generado por IA puede ser incorrecto."/>
                    <pic:cNvPicPr preferRelativeResize="0"/>
                  </pic:nvPicPr>
                  <pic:blipFill>
                    <a:blip r:embed="rId18"/>
                    <a:srcRect/>
                    <a:stretch>
                      <a:fillRect/>
                    </a:stretch>
                  </pic:blipFill>
                  <pic:spPr>
                    <a:xfrm>
                      <a:off x="0" y="0"/>
                      <a:ext cx="4826000" cy="2891155"/>
                    </a:xfrm>
                    <a:prstGeom prst="rect">
                      <a:avLst/>
                    </a:prstGeom>
                    <a:ln/>
                  </pic:spPr>
                </pic:pic>
              </a:graphicData>
            </a:graphic>
          </wp:inline>
        </w:drawing>
      </w:r>
    </w:p>
    <w:p w14:paraId="2A158DB2" w14:textId="77777777" w:rsidR="00466A15" w:rsidRPr="00F915A7" w:rsidRDefault="00000000">
      <w:pPr>
        <w:widowControl/>
        <w:pBdr>
          <w:top w:val="nil"/>
          <w:left w:val="nil"/>
          <w:bottom w:val="nil"/>
          <w:right w:val="nil"/>
          <w:between w:val="nil"/>
        </w:pBdr>
        <w:spacing w:after="80"/>
        <w:jc w:val="center"/>
        <w:rPr>
          <w:color w:val="000000"/>
          <w:sz w:val="24"/>
          <w:szCs w:val="24"/>
          <w:lang w:val="en-GB"/>
        </w:rPr>
      </w:pPr>
      <w:r w:rsidRPr="00F915A7">
        <w:rPr>
          <w:lang w:val="en-GB"/>
        </w:rPr>
        <w:t>Source: Own elaboration</w:t>
      </w:r>
    </w:p>
    <w:p w14:paraId="17E9AF9F" w14:textId="77777777" w:rsidR="00466A15" w:rsidRPr="00F915A7" w:rsidRDefault="00000000">
      <w:pPr>
        <w:pStyle w:val="Ttulo2"/>
        <w:rPr>
          <w:lang w:val="en-GB"/>
        </w:rPr>
      </w:pPr>
      <w:bookmarkStart w:id="3" w:name="_heading=h.lpqq0y2b44k9" w:colFirst="0" w:colLast="0"/>
      <w:bookmarkEnd w:id="3"/>
      <w:r w:rsidRPr="00F915A7">
        <w:rPr>
          <w:lang w:val="en-GB"/>
        </w:rPr>
        <w:t>4. Analysis and Results</w:t>
      </w:r>
    </w:p>
    <w:p w14:paraId="7B0324F3" w14:textId="77777777" w:rsidR="00466A15" w:rsidRPr="00F915A7" w:rsidRDefault="00000000">
      <w:pPr>
        <w:ind w:left="283" w:right="87"/>
        <w:jc w:val="both"/>
        <w:rPr>
          <w:color w:val="000000"/>
          <w:sz w:val="24"/>
          <w:szCs w:val="24"/>
          <w:lang w:val="en-GB"/>
        </w:rPr>
      </w:pPr>
      <w:r w:rsidRPr="00F915A7">
        <w:rPr>
          <w:color w:val="000000"/>
          <w:sz w:val="24"/>
          <w:szCs w:val="24"/>
          <w:lang w:val="en-GB"/>
        </w:rPr>
        <w:t>The transition from traditional VOD models toward other frameworks that incorporate advertising is a response to a complex interaction of economic and market factors.</w:t>
      </w:r>
    </w:p>
    <w:p w14:paraId="42AD7557" w14:textId="77777777" w:rsidR="00466A15" w:rsidRPr="00F915A7" w:rsidRDefault="00466A15">
      <w:pPr>
        <w:ind w:left="283" w:right="87"/>
        <w:jc w:val="both"/>
        <w:rPr>
          <w:color w:val="000000"/>
          <w:sz w:val="24"/>
          <w:szCs w:val="24"/>
          <w:lang w:val="en-GB"/>
        </w:rPr>
      </w:pPr>
    </w:p>
    <w:p w14:paraId="137B5636" w14:textId="77777777" w:rsidR="00466A15" w:rsidRPr="00F915A7" w:rsidRDefault="00000000">
      <w:pPr>
        <w:ind w:left="283" w:right="87"/>
        <w:jc w:val="both"/>
        <w:rPr>
          <w:i/>
          <w:iCs/>
          <w:color w:val="9A0203"/>
          <w:sz w:val="24"/>
          <w:szCs w:val="24"/>
          <w:lang w:val="en-GB"/>
        </w:rPr>
      </w:pPr>
      <w:r w:rsidRPr="00F915A7">
        <w:rPr>
          <w:i/>
          <w:iCs/>
          <w:color w:val="9A0203"/>
          <w:sz w:val="24"/>
          <w:szCs w:val="24"/>
          <w:lang w:val="en-GB"/>
        </w:rPr>
        <w:t>4.1. Economic Drivers of the Shift to AVOD</w:t>
      </w:r>
    </w:p>
    <w:p w14:paraId="7DA713A8" w14:textId="77777777" w:rsidR="00466A15" w:rsidRPr="00F915A7" w:rsidRDefault="00466A15">
      <w:pPr>
        <w:ind w:left="283" w:right="87"/>
        <w:jc w:val="both"/>
        <w:rPr>
          <w:color w:val="000000"/>
          <w:sz w:val="24"/>
          <w:szCs w:val="24"/>
          <w:lang w:val="en-GB"/>
        </w:rPr>
      </w:pPr>
    </w:p>
    <w:p w14:paraId="0DA9FD29" w14:textId="77777777" w:rsidR="00466A15" w:rsidRPr="00F915A7" w:rsidRDefault="00000000">
      <w:pPr>
        <w:ind w:left="283" w:right="87"/>
        <w:jc w:val="both"/>
        <w:rPr>
          <w:color w:val="000000"/>
          <w:sz w:val="24"/>
          <w:szCs w:val="24"/>
          <w:lang w:val="en-GB"/>
        </w:rPr>
      </w:pPr>
      <w:r w:rsidRPr="00F915A7">
        <w:rPr>
          <w:color w:val="000000"/>
          <w:sz w:val="24"/>
          <w:szCs w:val="24"/>
          <w:lang w:val="en-GB"/>
        </w:rPr>
        <w:t>The momentum toward AVOD and HVOD is a direct consequence of subscription market saturation, the exponential rise in content production costs, and increasing subscriber fatigue. Platforms can no longer rely solely on constant paid-user growth to maintain profitability and shareholder value (Fernández-Gómez et al., 2022).</w:t>
      </w:r>
    </w:p>
    <w:p w14:paraId="4D61BB60" w14:textId="77777777" w:rsidR="00466A15" w:rsidRPr="00F915A7" w:rsidRDefault="00466A15">
      <w:pPr>
        <w:ind w:left="283" w:right="87"/>
        <w:jc w:val="both"/>
        <w:rPr>
          <w:color w:val="000000"/>
          <w:sz w:val="24"/>
          <w:szCs w:val="24"/>
          <w:lang w:val="en-GB"/>
        </w:rPr>
      </w:pPr>
    </w:p>
    <w:p w14:paraId="395E3588" w14:textId="77777777" w:rsidR="00466A15" w:rsidRPr="00F915A7" w:rsidRDefault="00000000">
      <w:pPr>
        <w:ind w:left="283" w:right="87"/>
        <w:jc w:val="both"/>
        <w:rPr>
          <w:color w:val="000000"/>
          <w:sz w:val="24"/>
          <w:szCs w:val="24"/>
          <w:lang w:val="en-GB"/>
        </w:rPr>
      </w:pPr>
      <w:r w:rsidRPr="00F915A7">
        <w:rPr>
          <w:color w:val="000000"/>
          <w:sz w:val="24"/>
          <w:szCs w:val="24"/>
          <w:lang w:val="en-GB"/>
        </w:rPr>
        <w:t>In 2022, Netflix—the historical leader in SVOD—experienced a loss of over one million subscribers and a 40% drop in its stock market value. This event prompted the company to launch its ad-supported subscription tier in November 2022 across 12 countries, including Spain. This strategic move was a clear indicator of the pressure to identify new revenue streams.</w:t>
      </w:r>
    </w:p>
    <w:p w14:paraId="6E386C35" w14:textId="77777777" w:rsidR="00466A15" w:rsidRPr="00F915A7" w:rsidRDefault="00466A15">
      <w:pPr>
        <w:ind w:left="283" w:right="87"/>
        <w:jc w:val="both"/>
        <w:rPr>
          <w:color w:val="000000"/>
          <w:sz w:val="24"/>
          <w:szCs w:val="24"/>
          <w:lang w:val="en-GB"/>
        </w:rPr>
      </w:pPr>
    </w:p>
    <w:p w14:paraId="059C2A3D" w14:textId="77777777" w:rsidR="00466A15" w:rsidRPr="00F915A7" w:rsidRDefault="00000000">
      <w:pPr>
        <w:ind w:left="283" w:right="87"/>
        <w:jc w:val="both"/>
        <w:rPr>
          <w:color w:val="000000"/>
          <w:sz w:val="24"/>
          <w:szCs w:val="24"/>
          <w:lang w:val="en-GB"/>
        </w:rPr>
      </w:pPr>
      <w:r w:rsidRPr="00F915A7">
        <w:rPr>
          <w:color w:val="000000"/>
          <w:sz w:val="24"/>
          <w:szCs w:val="24"/>
          <w:lang w:val="en-GB"/>
        </w:rPr>
        <w:t xml:space="preserve">Other platforms, such as Disney+ and HBO Max, have faced similar pressures </w:t>
      </w:r>
      <w:r w:rsidRPr="00F915A7">
        <w:rPr>
          <w:color w:val="000000"/>
          <w:sz w:val="24"/>
          <w:szCs w:val="24"/>
          <w:lang w:val="en-GB"/>
        </w:rPr>
        <w:lastRenderedPageBreak/>
        <w:t>due to the high costs of creating original content. Challenges within the business models of these four platforms (including Netflix and Prime Video) have led to a search for alternative income. Competition has also intensified the need for diversification; pure AVOD platforms, such as Pluto and Roku, have gained ground by offering free ad-supported content, challenging traditional subscription models.</w:t>
      </w:r>
    </w:p>
    <w:p w14:paraId="530D18BC" w14:textId="77777777" w:rsidR="00466A15" w:rsidRPr="00F915A7" w:rsidRDefault="00466A15">
      <w:pPr>
        <w:ind w:left="283" w:right="87"/>
        <w:jc w:val="both"/>
        <w:rPr>
          <w:color w:val="000000"/>
          <w:sz w:val="24"/>
          <w:szCs w:val="24"/>
          <w:lang w:val="en-GB"/>
        </w:rPr>
      </w:pPr>
    </w:p>
    <w:p w14:paraId="387AD570" w14:textId="77777777" w:rsidR="00466A15" w:rsidRPr="00F915A7" w:rsidRDefault="00000000">
      <w:pPr>
        <w:ind w:left="283" w:right="87"/>
        <w:jc w:val="both"/>
        <w:rPr>
          <w:sz w:val="24"/>
          <w:szCs w:val="24"/>
          <w:lang w:val="en-GB"/>
        </w:rPr>
      </w:pPr>
      <w:r w:rsidRPr="00F915A7">
        <w:rPr>
          <w:color w:val="000000"/>
          <w:sz w:val="24"/>
          <w:szCs w:val="24"/>
          <w:lang w:val="en-GB"/>
        </w:rPr>
        <w:t>Market projections reinforce the validity of this transition: Digital TV Research estimates that AVOD revenue will grow by 144% globally by 2026, reaching $54 billion. Furthermore, in regions like Latin America, 89% of advertisers show a willingness to invest in ad-supported SVOD platforms.</w:t>
      </w:r>
    </w:p>
    <w:p w14:paraId="5B5B0E2A" w14:textId="77777777" w:rsidR="00466A15" w:rsidRPr="00F915A7" w:rsidRDefault="00466A15">
      <w:pPr>
        <w:ind w:left="283" w:right="87"/>
        <w:jc w:val="both"/>
        <w:rPr>
          <w:sz w:val="24"/>
          <w:szCs w:val="24"/>
          <w:lang w:val="en-GB"/>
        </w:rPr>
      </w:pPr>
    </w:p>
    <w:p w14:paraId="4F3B515A" w14:textId="77777777" w:rsidR="00466A15" w:rsidRPr="00F915A7" w:rsidRDefault="00000000">
      <w:pPr>
        <w:widowControl/>
        <w:pBdr>
          <w:top w:val="nil"/>
          <w:left w:val="nil"/>
          <w:bottom w:val="nil"/>
          <w:right w:val="nil"/>
          <w:between w:val="nil"/>
        </w:pBdr>
        <w:spacing w:after="80"/>
        <w:ind w:left="283"/>
        <w:rPr>
          <w:i/>
          <w:iCs/>
          <w:color w:val="9A0203"/>
          <w:sz w:val="24"/>
          <w:szCs w:val="24"/>
          <w:lang w:val="en-GB"/>
        </w:rPr>
      </w:pPr>
      <w:r w:rsidRPr="00F915A7">
        <w:rPr>
          <w:i/>
          <w:iCs/>
          <w:color w:val="9A0203"/>
          <w:sz w:val="24"/>
          <w:szCs w:val="24"/>
          <w:lang w:val="en-GB"/>
        </w:rPr>
        <w:t>4.2. Case Studies: Netflix</w:t>
      </w:r>
    </w:p>
    <w:p w14:paraId="31ACB958" w14:textId="77777777" w:rsidR="00466A15" w:rsidRPr="00F915A7" w:rsidRDefault="00000000">
      <w:pPr>
        <w:widowControl/>
        <w:pBdr>
          <w:top w:val="nil"/>
          <w:left w:val="nil"/>
          <w:bottom w:val="nil"/>
          <w:right w:val="nil"/>
          <w:between w:val="nil"/>
        </w:pBdr>
        <w:spacing w:after="80"/>
        <w:ind w:left="283" w:right="87"/>
        <w:jc w:val="both"/>
        <w:rPr>
          <w:color w:val="000000"/>
          <w:sz w:val="24"/>
          <w:szCs w:val="24"/>
          <w:lang w:val="en-GB"/>
        </w:rPr>
      </w:pPr>
      <w:r w:rsidRPr="00F915A7">
        <w:rPr>
          <w:color w:val="000000"/>
          <w:sz w:val="24"/>
          <w:szCs w:val="24"/>
          <w:lang w:val="en-GB"/>
        </w:rPr>
        <w:t>Netflix’s decision to integrate advertising in November 2022 targeted price-sensitive consumers by offering a lower-priced tier. By 2025, ad revenue in the U.S. alone was projected to generate $1.8 billion (</w:t>
      </w:r>
      <w:proofErr w:type="spellStart"/>
      <w:r w:rsidRPr="00F915A7">
        <w:rPr>
          <w:color w:val="000000"/>
          <w:sz w:val="24"/>
          <w:szCs w:val="24"/>
          <w:lang w:val="en-GB"/>
        </w:rPr>
        <w:t>PuroMarketing</w:t>
      </w:r>
      <w:proofErr w:type="spellEnd"/>
      <w:r w:rsidRPr="00F915A7">
        <w:rPr>
          <w:color w:val="000000"/>
          <w:sz w:val="24"/>
          <w:szCs w:val="24"/>
          <w:lang w:val="en-GB"/>
        </w:rPr>
        <w:t>, 2025).</w:t>
      </w:r>
    </w:p>
    <w:p w14:paraId="4A4F4208" w14:textId="77777777" w:rsidR="00466A15" w:rsidRPr="00F915A7" w:rsidRDefault="00466A15">
      <w:pPr>
        <w:widowControl/>
        <w:pBdr>
          <w:top w:val="nil"/>
          <w:left w:val="nil"/>
          <w:bottom w:val="nil"/>
          <w:right w:val="nil"/>
          <w:between w:val="nil"/>
        </w:pBdr>
        <w:spacing w:after="80"/>
        <w:ind w:left="283" w:right="87"/>
        <w:jc w:val="both"/>
        <w:rPr>
          <w:color w:val="000000"/>
          <w:sz w:val="24"/>
          <w:szCs w:val="24"/>
          <w:lang w:val="en-GB"/>
        </w:rPr>
      </w:pPr>
    </w:p>
    <w:p w14:paraId="5DA4F74F" w14:textId="77777777" w:rsidR="00466A15" w:rsidRPr="00F915A7" w:rsidRDefault="00000000">
      <w:pPr>
        <w:widowControl/>
        <w:pBdr>
          <w:top w:val="nil"/>
          <w:left w:val="nil"/>
          <w:bottom w:val="nil"/>
          <w:right w:val="nil"/>
          <w:between w:val="nil"/>
        </w:pBdr>
        <w:spacing w:after="80"/>
        <w:ind w:left="283" w:right="87"/>
        <w:jc w:val="both"/>
        <w:rPr>
          <w:color w:val="000000"/>
          <w:sz w:val="24"/>
          <w:szCs w:val="24"/>
          <w:lang w:val="en-GB"/>
        </w:rPr>
      </w:pPr>
      <w:r w:rsidRPr="00F915A7">
        <w:rPr>
          <w:color w:val="000000"/>
          <w:sz w:val="24"/>
          <w:szCs w:val="24"/>
          <w:lang w:val="en-GB"/>
        </w:rPr>
        <w:t>However, Netflix has navigated several obstacles in its advertising foray. Initial limitations, such as basic segmentation (by country and gender) and a lack of exclusivity agreements, deterred some advertisers. Consequently, the company decided to partner with Microsoft to facilitate integration.</w:t>
      </w:r>
    </w:p>
    <w:p w14:paraId="1CB079B4" w14:textId="77777777" w:rsidR="00466A15" w:rsidRPr="00F915A7" w:rsidRDefault="00466A15">
      <w:pPr>
        <w:widowControl/>
        <w:pBdr>
          <w:top w:val="nil"/>
          <w:left w:val="nil"/>
          <w:bottom w:val="nil"/>
          <w:right w:val="nil"/>
          <w:between w:val="nil"/>
        </w:pBdr>
        <w:spacing w:after="80"/>
        <w:ind w:left="283" w:right="87"/>
        <w:jc w:val="both"/>
        <w:rPr>
          <w:color w:val="000000"/>
          <w:sz w:val="24"/>
          <w:szCs w:val="24"/>
          <w:lang w:val="en-GB"/>
        </w:rPr>
      </w:pPr>
    </w:p>
    <w:p w14:paraId="3939A65D" w14:textId="77777777" w:rsidR="00466A15" w:rsidRPr="00F915A7" w:rsidRDefault="00000000">
      <w:pPr>
        <w:widowControl/>
        <w:pBdr>
          <w:top w:val="nil"/>
          <w:left w:val="nil"/>
          <w:bottom w:val="nil"/>
          <w:right w:val="nil"/>
          <w:between w:val="nil"/>
        </w:pBdr>
        <w:spacing w:after="80"/>
        <w:ind w:left="283" w:right="87"/>
        <w:jc w:val="both"/>
        <w:rPr>
          <w:color w:val="000000"/>
          <w:sz w:val="24"/>
          <w:szCs w:val="24"/>
          <w:lang w:val="en-GB"/>
        </w:rPr>
      </w:pPr>
      <w:r w:rsidRPr="00F915A7">
        <w:rPr>
          <w:color w:val="000000"/>
          <w:sz w:val="24"/>
          <w:szCs w:val="24"/>
          <w:lang w:val="en-GB"/>
        </w:rPr>
        <w:t xml:space="preserve">In the second quarter of 2025, the Los Gatos-based company reported strong growth, with a 16% year-on-year (YoY) increase in revenue, reaching $11.079 billion. Operating profit (EBIT) surged by 34% to $3.775 billion, while net income rose by 45% to $3.125 billion. Earnings per share (EPS) grew by 47%, standing at </w:t>
      </w:r>
      <w:r w:rsidRPr="00750BA0">
        <w:rPr>
          <w:color w:val="000000"/>
          <w:sz w:val="24"/>
          <w:szCs w:val="24"/>
          <w:lang w:val="en-GB"/>
        </w:rPr>
        <w:t>$</w:t>
      </w:r>
      <w:r w:rsidRPr="00F915A7">
        <w:rPr>
          <w:color w:val="000000"/>
          <w:sz w:val="24"/>
          <w:szCs w:val="24"/>
          <w:lang w:val="en-GB"/>
        </w:rPr>
        <w:t>7.19.</w:t>
      </w:r>
    </w:p>
    <w:p w14:paraId="73B00B8F" w14:textId="77777777" w:rsidR="00466A15" w:rsidRPr="00F915A7" w:rsidRDefault="00466A15">
      <w:pPr>
        <w:widowControl/>
        <w:pBdr>
          <w:top w:val="nil"/>
          <w:left w:val="nil"/>
          <w:bottom w:val="nil"/>
          <w:right w:val="nil"/>
          <w:between w:val="nil"/>
        </w:pBdr>
        <w:spacing w:after="80"/>
        <w:ind w:left="283" w:right="87"/>
        <w:jc w:val="both"/>
        <w:rPr>
          <w:color w:val="000000"/>
          <w:sz w:val="24"/>
          <w:szCs w:val="24"/>
          <w:lang w:val="en-GB"/>
        </w:rPr>
      </w:pPr>
    </w:p>
    <w:p w14:paraId="43B85B9E" w14:textId="77777777" w:rsidR="00466A15" w:rsidRPr="00F915A7" w:rsidRDefault="00000000">
      <w:pPr>
        <w:widowControl/>
        <w:pBdr>
          <w:top w:val="nil"/>
          <w:left w:val="nil"/>
          <w:bottom w:val="nil"/>
          <w:right w:val="nil"/>
          <w:between w:val="nil"/>
        </w:pBdr>
        <w:spacing w:after="80"/>
        <w:ind w:left="283" w:right="87"/>
        <w:jc w:val="both"/>
        <w:rPr>
          <w:color w:val="000000"/>
          <w:sz w:val="24"/>
          <w:szCs w:val="24"/>
          <w:lang w:val="en-GB"/>
        </w:rPr>
      </w:pPr>
      <w:r w:rsidRPr="00F915A7">
        <w:rPr>
          <w:color w:val="000000"/>
          <w:sz w:val="24"/>
          <w:szCs w:val="24"/>
          <w:lang w:val="en-GB"/>
        </w:rPr>
        <w:t xml:space="preserve">This YoY revenue growth and improved operating margin are attributed to core performance driven by a larger customer base, higher average pricing, and increased ad revenue (Netflix, Inc., 2025). Investor documentation also highlights the advancement of its proprietary advertising infrastructure (Netflix Ads Suite) and its role in expanding the ad business. In parallel, adoption of the ad-supported plan accelerated: the company reported that the ad-tier reached 94 million users and that a majority of new sign-ups in available markets were for this plan. This reaffirms the role of advertising as a growth lever in an environment characterized by price elasticity (Chmielewski and </w:t>
      </w:r>
      <w:proofErr w:type="spellStart"/>
      <w:r w:rsidRPr="00F915A7">
        <w:rPr>
          <w:color w:val="000000"/>
          <w:sz w:val="24"/>
          <w:szCs w:val="24"/>
          <w:lang w:val="en-GB"/>
        </w:rPr>
        <w:t>Kachwala</w:t>
      </w:r>
      <w:proofErr w:type="spellEnd"/>
      <w:r w:rsidRPr="00F915A7">
        <w:rPr>
          <w:color w:val="000000"/>
          <w:sz w:val="24"/>
          <w:szCs w:val="24"/>
          <w:lang w:val="en-GB"/>
        </w:rPr>
        <w:t>, 2025).</w:t>
      </w:r>
    </w:p>
    <w:p w14:paraId="129FA12E" w14:textId="77777777" w:rsidR="00466A15" w:rsidRPr="00F915A7" w:rsidRDefault="00466A15">
      <w:pPr>
        <w:widowControl/>
        <w:pBdr>
          <w:top w:val="nil"/>
          <w:left w:val="nil"/>
          <w:bottom w:val="nil"/>
          <w:right w:val="nil"/>
          <w:between w:val="nil"/>
        </w:pBdr>
        <w:spacing w:after="80"/>
        <w:ind w:left="283" w:right="87"/>
        <w:jc w:val="both"/>
        <w:rPr>
          <w:color w:val="000000"/>
          <w:sz w:val="24"/>
          <w:szCs w:val="24"/>
          <w:lang w:val="en-GB"/>
        </w:rPr>
      </w:pPr>
    </w:p>
    <w:p w14:paraId="10F720F4" w14:textId="77777777" w:rsidR="00466A15" w:rsidRPr="00F915A7" w:rsidRDefault="00000000">
      <w:pPr>
        <w:widowControl/>
        <w:pBdr>
          <w:top w:val="nil"/>
          <w:left w:val="nil"/>
          <w:bottom w:val="nil"/>
          <w:right w:val="nil"/>
          <w:between w:val="nil"/>
        </w:pBdr>
        <w:spacing w:after="80"/>
        <w:ind w:left="283" w:right="87"/>
        <w:jc w:val="both"/>
        <w:rPr>
          <w:i/>
          <w:iCs/>
          <w:color w:val="9A0203"/>
          <w:sz w:val="24"/>
          <w:szCs w:val="24"/>
          <w:lang w:val="en-GB"/>
        </w:rPr>
      </w:pPr>
      <w:r w:rsidRPr="00F915A7">
        <w:rPr>
          <w:i/>
          <w:iCs/>
          <w:color w:val="9A0203"/>
          <w:sz w:val="24"/>
          <w:szCs w:val="24"/>
          <w:lang w:val="en-GB"/>
        </w:rPr>
        <w:t>4.3. Case Studies: Prime Video</w:t>
      </w:r>
    </w:p>
    <w:p w14:paraId="73B7EFCD" w14:textId="77777777" w:rsidR="00466A15" w:rsidRPr="00F915A7" w:rsidRDefault="00000000">
      <w:pPr>
        <w:widowControl/>
        <w:pBdr>
          <w:top w:val="nil"/>
          <w:left w:val="nil"/>
          <w:bottom w:val="nil"/>
          <w:right w:val="nil"/>
          <w:between w:val="nil"/>
        </w:pBdr>
        <w:spacing w:after="80"/>
        <w:ind w:left="283" w:right="87"/>
        <w:jc w:val="both"/>
        <w:rPr>
          <w:color w:val="000000"/>
          <w:sz w:val="24"/>
          <w:szCs w:val="24"/>
          <w:lang w:val="en-GB"/>
        </w:rPr>
      </w:pPr>
      <w:r w:rsidRPr="00F915A7">
        <w:rPr>
          <w:color w:val="000000"/>
          <w:sz w:val="24"/>
          <w:szCs w:val="24"/>
          <w:lang w:val="en-GB"/>
        </w:rPr>
        <w:t>Prime Video, as part of the Amazon Prime ecosystem, has approached advertising from a different perspective. Historically, Amazon used advertising on Prime Video primarily for the self-promotion of its own products and services. However, since 2024, Prime Video implemented mandatory advertising for all its Prime subscribers within its series and movies (Pacheco, 2024), offering the option to pay an additional fee of nearly two euros per month to remove it.</w:t>
      </w:r>
    </w:p>
    <w:p w14:paraId="72779065" w14:textId="77777777" w:rsidR="00466A15" w:rsidRPr="00F915A7" w:rsidRDefault="00466A15">
      <w:pPr>
        <w:widowControl/>
        <w:pBdr>
          <w:top w:val="nil"/>
          <w:left w:val="nil"/>
          <w:bottom w:val="nil"/>
          <w:right w:val="nil"/>
          <w:between w:val="nil"/>
        </w:pBdr>
        <w:spacing w:after="80"/>
        <w:ind w:left="283" w:right="87"/>
        <w:jc w:val="both"/>
        <w:rPr>
          <w:color w:val="000000"/>
          <w:sz w:val="24"/>
          <w:szCs w:val="24"/>
          <w:lang w:val="en-GB"/>
        </w:rPr>
      </w:pPr>
    </w:p>
    <w:p w14:paraId="6FEB5585" w14:textId="77777777" w:rsidR="00466A15" w:rsidRPr="00F915A7" w:rsidRDefault="00000000">
      <w:pPr>
        <w:widowControl/>
        <w:pBdr>
          <w:top w:val="nil"/>
          <w:left w:val="nil"/>
          <w:bottom w:val="nil"/>
          <w:right w:val="nil"/>
          <w:between w:val="nil"/>
        </w:pBdr>
        <w:spacing w:after="80"/>
        <w:ind w:left="283" w:right="87"/>
        <w:jc w:val="both"/>
        <w:rPr>
          <w:color w:val="000000"/>
          <w:sz w:val="24"/>
          <w:szCs w:val="24"/>
          <w:lang w:val="en-GB"/>
        </w:rPr>
      </w:pPr>
      <w:r w:rsidRPr="00F915A7">
        <w:rPr>
          <w:color w:val="000000"/>
          <w:sz w:val="24"/>
          <w:szCs w:val="24"/>
          <w:lang w:val="en-GB"/>
        </w:rPr>
        <w:t>Regarding the increase in Prime Video ads in 2025, Ballester (2024) warns that Amazon would not only increase them, but that these ads incorporate interactive formats for direct purchases.</w:t>
      </w:r>
    </w:p>
    <w:p w14:paraId="323CBFA3" w14:textId="77777777" w:rsidR="00466A15" w:rsidRPr="00F915A7" w:rsidRDefault="00466A15">
      <w:pPr>
        <w:widowControl/>
        <w:pBdr>
          <w:top w:val="nil"/>
          <w:left w:val="nil"/>
          <w:bottom w:val="nil"/>
          <w:right w:val="nil"/>
          <w:between w:val="nil"/>
        </w:pBdr>
        <w:spacing w:after="80"/>
        <w:ind w:left="283" w:right="87"/>
        <w:jc w:val="both"/>
        <w:rPr>
          <w:color w:val="000000"/>
          <w:sz w:val="24"/>
          <w:szCs w:val="24"/>
          <w:lang w:val="en-GB"/>
        </w:rPr>
      </w:pPr>
    </w:p>
    <w:p w14:paraId="5F908E7B" w14:textId="77777777" w:rsidR="00466A15" w:rsidRPr="00F915A7" w:rsidRDefault="00000000">
      <w:pPr>
        <w:widowControl/>
        <w:pBdr>
          <w:top w:val="nil"/>
          <w:left w:val="nil"/>
          <w:bottom w:val="nil"/>
          <w:right w:val="nil"/>
          <w:between w:val="nil"/>
        </w:pBdr>
        <w:spacing w:after="80"/>
        <w:ind w:left="283" w:right="87"/>
        <w:jc w:val="both"/>
        <w:rPr>
          <w:color w:val="000000"/>
          <w:sz w:val="24"/>
          <w:szCs w:val="24"/>
          <w:lang w:val="en-GB"/>
        </w:rPr>
      </w:pPr>
      <w:r w:rsidRPr="00F915A7">
        <w:rPr>
          <w:color w:val="000000"/>
          <w:sz w:val="24"/>
          <w:szCs w:val="24"/>
          <w:lang w:val="en-GB"/>
        </w:rPr>
        <w:t>Amazon has also incorporated advertising for all its Prime subscribers. The hybrid or HVOD model has consolidated, as the majority of users have accepted the ad-supported model, exceeding revenue expectations, despite the existence of an option to remove them via an additional payment.</w:t>
      </w:r>
    </w:p>
    <w:p w14:paraId="47B6DC59" w14:textId="77777777" w:rsidR="00466A15" w:rsidRPr="00F915A7" w:rsidRDefault="00466A15">
      <w:pPr>
        <w:widowControl/>
        <w:pBdr>
          <w:top w:val="nil"/>
          <w:left w:val="nil"/>
          <w:bottom w:val="nil"/>
          <w:right w:val="nil"/>
          <w:between w:val="nil"/>
        </w:pBdr>
        <w:spacing w:after="80"/>
        <w:ind w:left="283" w:right="87"/>
        <w:jc w:val="both"/>
        <w:rPr>
          <w:color w:val="000000"/>
          <w:sz w:val="24"/>
          <w:szCs w:val="24"/>
          <w:lang w:val="en-GB"/>
        </w:rPr>
      </w:pPr>
    </w:p>
    <w:p w14:paraId="4D30301A" w14:textId="77777777" w:rsidR="00466A15" w:rsidRPr="00F915A7" w:rsidRDefault="00000000">
      <w:pPr>
        <w:widowControl/>
        <w:pBdr>
          <w:top w:val="nil"/>
          <w:left w:val="nil"/>
          <w:bottom w:val="nil"/>
          <w:right w:val="nil"/>
          <w:between w:val="nil"/>
        </w:pBdr>
        <w:spacing w:after="80"/>
        <w:ind w:left="283" w:right="87"/>
        <w:jc w:val="both"/>
        <w:rPr>
          <w:color w:val="000000"/>
          <w:sz w:val="24"/>
          <w:szCs w:val="24"/>
          <w:lang w:val="en-GB"/>
        </w:rPr>
      </w:pPr>
      <w:r w:rsidRPr="00F915A7">
        <w:rPr>
          <w:color w:val="000000"/>
          <w:sz w:val="24"/>
          <w:szCs w:val="24"/>
          <w:lang w:val="en-GB"/>
        </w:rPr>
        <w:t>Considering Amazon Prime prices in Spain in 2025, at €4.99/month and €49.90/year, it should be added that it offers a reduced rate for students and young people between 18 and 22 years old: €2.49 per month and €24.95 per year, respectively (Amazon.es, 2025).</w:t>
      </w:r>
    </w:p>
    <w:p w14:paraId="4CB23341" w14:textId="77777777" w:rsidR="00466A15" w:rsidRPr="00F915A7" w:rsidRDefault="00466A15">
      <w:pPr>
        <w:widowControl/>
        <w:pBdr>
          <w:top w:val="nil"/>
          <w:left w:val="nil"/>
          <w:bottom w:val="nil"/>
          <w:right w:val="nil"/>
          <w:between w:val="nil"/>
        </w:pBdr>
        <w:spacing w:after="80"/>
        <w:ind w:left="283" w:right="87"/>
        <w:jc w:val="both"/>
        <w:rPr>
          <w:color w:val="000000"/>
          <w:sz w:val="24"/>
          <w:szCs w:val="24"/>
          <w:lang w:val="en-GB"/>
        </w:rPr>
      </w:pPr>
    </w:p>
    <w:p w14:paraId="6B652E56" w14:textId="77777777" w:rsidR="00466A15" w:rsidRPr="00F915A7" w:rsidRDefault="00000000">
      <w:pPr>
        <w:widowControl/>
        <w:pBdr>
          <w:top w:val="nil"/>
          <w:left w:val="nil"/>
          <w:bottom w:val="nil"/>
          <w:right w:val="nil"/>
          <w:between w:val="nil"/>
        </w:pBdr>
        <w:spacing w:after="80"/>
        <w:ind w:left="283" w:right="87"/>
        <w:jc w:val="both"/>
        <w:rPr>
          <w:color w:val="000000"/>
          <w:sz w:val="24"/>
          <w:szCs w:val="24"/>
          <w:lang w:val="en-GB"/>
        </w:rPr>
      </w:pPr>
      <w:r w:rsidRPr="00F915A7">
        <w:rPr>
          <w:color w:val="000000"/>
          <w:sz w:val="24"/>
          <w:szCs w:val="24"/>
          <w:lang w:val="en-GB"/>
        </w:rPr>
        <w:t>At an event aimed at advertisers in London, Kelly Day, Vice President of Prime Video International, noted that in 2025 the offering of advertising spaces would gradually increase, with the objective of strengthening the presence of brands on the platform (Fuentes, 2024).</w:t>
      </w:r>
    </w:p>
    <w:p w14:paraId="23AF7E66" w14:textId="77777777" w:rsidR="00466A15" w:rsidRPr="00F915A7" w:rsidRDefault="00466A15">
      <w:pPr>
        <w:widowControl/>
        <w:pBdr>
          <w:top w:val="nil"/>
          <w:left w:val="nil"/>
          <w:bottom w:val="nil"/>
          <w:right w:val="nil"/>
          <w:between w:val="nil"/>
        </w:pBdr>
        <w:spacing w:after="80"/>
        <w:ind w:left="283" w:right="87"/>
        <w:jc w:val="both"/>
        <w:rPr>
          <w:color w:val="000000"/>
          <w:sz w:val="24"/>
          <w:szCs w:val="24"/>
          <w:lang w:val="en-GB"/>
        </w:rPr>
      </w:pPr>
    </w:p>
    <w:p w14:paraId="1E90CAED" w14:textId="77777777" w:rsidR="00466A15" w:rsidRPr="00F915A7" w:rsidRDefault="00000000">
      <w:pPr>
        <w:widowControl/>
        <w:pBdr>
          <w:top w:val="nil"/>
          <w:left w:val="nil"/>
          <w:bottom w:val="nil"/>
          <w:right w:val="nil"/>
          <w:between w:val="nil"/>
        </w:pBdr>
        <w:spacing w:after="80"/>
        <w:ind w:left="283" w:right="87"/>
        <w:jc w:val="both"/>
        <w:rPr>
          <w:color w:val="000000"/>
          <w:sz w:val="24"/>
          <w:szCs w:val="24"/>
          <w:lang w:val="en-GB"/>
        </w:rPr>
      </w:pPr>
      <w:r w:rsidRPr="00F915A7">
        <w:rPr>
          <w:color w:val="000000"/>
          <w:sz w:val="24"/>
          <w:szCs w:val="24"/>
          <w:lang w:val="en-GB"/>
        </w:rPr>
        <w:t>On a global level, it has already been seen in Figure 1 that 80% of Prime Video revenue comes from ad-free subscriptions, and in Spain, this figure rises to 85%. Integration with Amazon Ads' robust infrastructure represents a significant advantage for Prime Video, allowing it to leverage Amazon's targeting capabilities and purchasing data to offer highly relevant ads to its audiences. Amazon's total advertising revenue increased by 24% year-on-year in the first quarter of 2024, reaching $11.82 billion.</w:t>
      </w:r>
    </w:p>
    <w:p w14:paraId="33C59E98" w14:textId="77777777" w:rsidR="00466A15" w:rsidRPr="00F915A7" w:rsidRDefault="00466A15">
      <w:pPr>
        <w:widowControl/>
        <w:pBdr>
          <w:top w:val="nil"/>
          <w:left w:val="nil"/>
          <w:bottom w:val="nil"/>
          <w:right w:val="nil"/>
          <w:between w:val="nil"/>
        </w:pBdr>
        <w:spacing w:after="80"/>
        <w:ind w:left="283" w:right="87"/>
        <w:jc w:val="both"/>
        <w:rPr>
          <w:color w:val="000000"/>
          <w:sz w:val="24"/>
          <w:szCs w:val="24"/>
          <w:lang w:val="en-GB"/>
        </w:rPr>
      </w:pPr>
    </w:p>
    <w:p w14:paraId="3F620569" w14:textId="77777777" w:rsidR="00466A15" w:rsidRPr="00F915A7" w:rsidRDefault="00000000">
      <w:pPr>
        <w:widowControl/>
        <w:pBdr>
          <w:top w:val="nil"/>
          <w:left w:val="nil"/>
          <w:bottom w:val="nil"/>
          <w:right w:val="nil"/>
          <w:between w:val="nil"/>
        </w:pBdr>
        <w:spacing w:after="80"/>
        <w:ind w:left="283" w:right="87"/>
        <w:jc w:val="both"/>
        <w:rPr>
          <w:color w:val="000000"/>
          <w:sz w:val="24"/>
          <w:szCs w:val="24"/>
          <w:lang w:val="en-GB"/>
        </w:rPr>
      </w:pPr>
      <w:r w:rsidRPr="00F915A7">
        <w:rPr>
          <w:color w:val="000000"/>
          <w:sz w:val="24"/>
          <w:szCs w:val="24"/>
          <w:lang w:val="en-GB"/>
        </w:rPr>
        <w:t>In the first quarter of 2025, Amazon obtained total revenue of $155.7 billion (a 10% year-on-year increase), a net income of $17.1 billion, and earnings per share (EPS) of $1.59 (vs. $1.37 expected). Prime Video is situated within this conglomerate.</w:t>
      </w:r>
    </w:p>
    <w:p w14:paraId="2E765EF8" w14:textId="77777777" w:rsidR="00466A15" w:rsidRPr="00F915A7" w:rsidRDefault="00466A15">
      <w:pPr>
        <w:widowControl/>
        <w:pBdr>
          <w:top w:val="nil"/>
          <w:left w:val="nil"/>
          <w:bottom w:val="nil"/>
          <w:right w:val="nil"/>
          <w:between w:val="nil"/>
        </w:pBdr>
        <w:spacing w:after="80"/>
        <w:ind w:left="283" w:right="370"/>
        <w:jc w:val="both"/>
        <w:rPr>
          <w:i/>
          <w:iCs/>
          <w:color w:val="98361E"/>
          <w:sz w:val="24"/>
          <w:szCs w:val="24"/>
          <w:lang w:val="en-GB"/>
        </w:rPr>
      </w:pPr>
    </w:p>
    <w:p w14:paraId="0E26110F" w14:textId="77777777" w:rsidR="00466A15" w:rsidRPr="00F915A7" w:rsidRDefault="00000000">
      <w:pPr>
        <w:widowControl/>
        <w:pBdr>
          <w:top w:val="nil"/>
          <w:left w:val="nil"/>
          <w:bottom w:val="nil"/>
          <w:right w:val="nil"/>
          <w:between w:val="nil"/>
        </w:pBdr>
        <w:spacing w:after="80"/>
        <w:ind w:left="283"/>
        <w:jc w:val="both"/>
        <w:rPr>
          <w:i/>
          <w:iCs/>
          <w:color w:val="9A0203"/>
          <w:sz w:val="24"/>
          <w:szCs w:val="24"/>
          <w:lang w:val="en-GB"/>
        </w:rPr>
      </w:pPr>
      <w:r w:rsidRPr="00F915A7">
        <w:rPr>
          <w:i/>
          <w:iCs/>
          <w:color w:val="9A0203"/>
          <w:sz w:val="24"/>
          <w:szCs w:val="24"/>
          <w:lang w:val="en-GB"/>
        </w:rPr>
        <w:t>4.4. Case Studies: Disney+</w:t>
      </w:r>
    </w:p>
    <w:p w14:paraId="6569326E" w14:textId="77777777" w:rsidR="00466A15" w:rsidRPr="00F915A7" w:rsidRDefault="00466A15">
      <w:pPr>
        <w:widowControl/>
        <w:pBdr>
          <w:top w:val="nil"/>
          <w:left w:val="nil"/>
          <w:bottom w:val="nil"/>
          <w:right w:val="nil"/>
          <w:between w:val="nil"/>
        </w:pBdr>
        <w:spacing w:after="80"/>
        <w:ind w:left="283"/>
        <w:jc w:val="both"/>
        <w:rPr>
          <w:i/>
          <w:iCs/>
          <w:color w:val="9A0203"/>
          <w:sz w:val="24"/>
          <w:szCs w:val="24"/>
          <w:lang w:val="en-GB"/>
        </w:rPr>
      </w:pPr>
    </w:p>
    <w:p w14:paraId="0FC098D4" w14:textId="77777777" w:rsidR="00466A15" w:rsidRPr="00F915A7" w:rsidRDefault="00000000">
      <w:pPr>
        <w:widowControl/>
        <w:pBdr>
          <w:top w:val="nil"/>
          <w:left w:val="nil"/>
          <w:bottom w:val="nil"/>
          <w:right w:val="nil"/>
          <w:between w:val="nil"/>
        </w:pBdr>
        <w:spacing w:after="80"/>
        <w:ind w:left="283"/>
        <w:jc w:val="both"/>
        <w:rPr>
          <w:color w:val="000000"/>
          <w:sz w:val="24"/>
          <w:szCs w:val="24"/>
          <w:lang w:val="en-GB"/>
        </w:rPr>
      </w:pPr>
      <w:r w:rsidRPr="00F915A7">
        <w:rPr>
          <w:color w:val="000000"/>
          <w:sz w:val="24"/>
          <w:szCs w:val="24"/>
          <w:lang w:val="en-GB"/>
        </w:rPr>
        <w:t xml:space="preserve">Since its inception, Disney+ has adopted a hybrid approach, making the introduction of its ad-supported plan a natural progression. The platform benefits immensely from synergies with the vast Disney ecosystem, which includes properties such as ESPN+ and Hulu, allowing it to offer a diversified, integrated, and attractive advertising reach for brands. Fernández (2025) notes that the Standard with Ads plan in Spain (€5.99/month) offers Full HD resolution and allows for two simultaneous streams without downloads; within this plan, advertising includes </w:t>
      </w:r>
      <w:proofErr w:type="spellStart"/>
      <w:r w:rsidRPr="00F915A7">
        <w:rPr>
          <w:color w:val="000000"/>
          <w:sz w:val="24"/>
          <w:szCs w:val="24"/>
          <w:lang w:val="en-GB"/>
        </w:rPr>
        <w:t>unskippable</w:t>
      </w:r>
      <w:proofErr w:type="spellEnd"/>
      <w:r w:rsidRPr="00F915A7">
        <w:rPr>
          <w:color w:val="000000"/>
          <w:sz w:val="24"/>
          <w:szCs w:val="24"/>
          <w:lang w:val="en-GB"/>
        </w:rPr>
        <w:t xml:space="preserve"> ads during playback, which can be personalized if the user provides consent.</w:t>
      </w:r>
    </w:p>
    <w:p w14:paraId="6AB3C1F3" w14:textId="77777777" w:rsidR="00466A15" w:rsidRPr="00F915A7" w:rsidRDefault="00466A15">
      <w:pPr>
        <w:widowControl/>
        <w:pBdr>
          <w:top w:val="nil"/>
          <w:left w:val="nil"/>
          <w:bottom w:val="nil"/>
          <w:right w:val="nil"/>
          <w:between w:val="nil"/>
        </w:pBdr>
        <w:spacing w:after="80"/>
        <w:ind w:left="283"/>
        <w:jc w:val="both"/>
        <w:rPr>
          <w:color w:val="000000"/>
          <w:sz w:val="24"/>
          <w:szCs w:val="24"/>
          <w:lang w:val="en-GB"/>
        </w:rPr>
      </w:pPr>
    </w:p>
    <w:p w14:paraId="0D246551" w14:textId="77777777" w:rsidR="00466A15" w:rsidRPr="00F915A7" w:rsidRDefault="00000000">
      <w:pPr>
        <w:widowControl/>
        <w:pBdr>
          <w:top w:val="nil"/>
          <w:left w:val="nil"/>
          <w:bottom w:val="nil"/>
          <w:right w:val="nil"/>
          <w:between w:val="nil"/>
        </w:pBdr>
        <w:spacing w:after="80"/>
        <w:ind w:left="283"/>
        <w:jc w:val="both"/>
        <w:rPr>
          <w:color w:val="000000"/>
          <w:sz w:val="24"/>
          <w:szCs w:val="24"/>
          <w:lang w:val="en-GB"/>
        </w:rPr>
      </w:pPr>
      <w:r w:rsidRPr="00F915A7">
        <w:rPr>
          <w:color w:val="000000"/>
          <w:sz w:val="24"/>
          <w:szCs w:val="24"/>
          <w:lang w:val="en-GB"/>
        </w:rPr>
        <w:t>Advertising on Disney+ represents an opportunity to segment audiences effectively, leveraging the brand equity of a major entertainment powerhouse and users' content preferences. Globally, advertising currently accounts for 20% of Disney+ revenue, while in Spain, this figure is lower, at barely 10%. Nevertheless, a progressive growth in this contribution is projected for the Spanish market. Initial results show clear potential, although the platform must still balance UX (user experience) with ad monetization.</w:t>
      </w:r>
    </w:p>
    <w:p w14:paraId="484F8654" w14:textId="77777777" w:rsidR="00466A15" w:rsidRPr="00F915A7" w:rsidRDefault="00466A15">
      <w:pPr>
        <w:widowControl/>
        <w:pBdr>
          <w:top w:val="nil"/>
          <w:left w:val="nil"/>
          <w:bottom w:val="nil"/>
          <w:right w:val="nil"/>
          <w:between w:val="nil"/>
        </w:pBdr>
        <w:spacing w:after="80"/>
        <w:ind w:left="283"/>
        <w:jc w:val="both"/>
        <w:rPr>
          <w:color w:val="000000"/>
          <w:sz w:val="24"/>
          <w:szCs w:val="24"/>
          <w:lang w:val="en-GB"/>
        </w:rPr>
      </w:pPr>
    </w:p>
    <w:p w14:paraId="2DE11D4F" w14:textId="77777777" w:rsidR="00466A15" w:rsidRPr="00F915A7" w:rsidRDefault="00000000">
      <w:pPr>
        <w:widowControl/>
        <w:pBdr>
          <w:top w:val="nil"/>
          <w:left w:val="nil"/>
          <w:bottom w:val="nil"/>
          <w:right w:val="nil"/>
          <w:between w:val="nil"/>
        </w:pBdr>
        <w:spacing w:after="80"/>
        <w:ind w:left="283"/>
        <w:jc w:val="both"/>
        <w:rPr>
          <w:color w:val="000000"/>
          <w:sz w:val="24"/>
          <w:szCs w:val="24"/>
          <w:lang w:val="en-GB"/>
        </w:rPr>
      </w:pPr>
      <w:r w:rsidRPr="00F915A7">
        <w:rPr>
          <w:color w:val="000000"/>
          <w:sz w:val="24"/>
          <w:szCs w:val="24"/>
          <w:lang w:val="en-GB"/>
        </w:rPr>
        <w:t>In the second quarter of 2025, Disney achieved total revenue of $23.6 billion, representing a 7% increase. Regarding net income before taxes, this figure rose to $3.1 billion (compared to $700 million in the same period of 2024). Earnings per share (EPS) grew by 20% year-on-year to $1.45. Specifically, the number of Disney+ subscribers worldwide stands at 126 million (following a year-on-year increase of 1.4 million). Direct-to-consumer streaming revenue reached $336 million, driven by a $289 million increase.</w:t>
      </w:r>
    </w:p>
    <w:p w14:paraId="302E1C8B" w14:textId="77777777" w:rsidR="00466A15" w:rsidRPr="00F915A7" w:rsidRDefault="00466A15">
      <w:pPr>
        <w:widowControl/>
        <w:pBdr>
          <w:top w:val="nil"/>
          <w:left w:val="nil"/>
          <w:bottom w:val="nil"/>
          <w:right w:val="nil"/>
          <w:between w:val="nil"/>
        </w:pBdr>
        <w:spacing w:after="80"/>
        <w:ind w:left="283"/>
        <w:jc w:val="both"/>
        <w:rPr>
          <w:i/>
          <w:iCs/>
          <w:color w:val="9A0203"/>
          <w:sz w:val="24"/>
          <w:szCs w:val="24"/>
          <w:lang w:val="en-GB"/>
        </w:rPr>
      </w:pPr>
    </w:p>
    <w:p w14:paraId="7409C6DA" w14:textId="77777777" w:rsidR="00466A15" w:rsidRPr="00F915A7" w:rsidRDefault="00466A15">
      <w:pPr>
        <w:widowControl/>
        <w:pBdr>
          <w:top w:val="nil"/>
          <w:left w:val="nil"/>
          <w:bottom w:val="nil"/>
          <w:right w:val="nil"/>
          <w:between w:val="nil"/>
        </w:pBdr>
        <w:spacing w:after="80"/>
        <w:ind w:left="283"/>
        <w:jc w:val="both"/>
        <w:rPr>
          <w:i/>
          <w:iCs/>
          <w:color w:val="9A0203"/>
          <w:sz w:val="24"/>
          <w:szCs w:val="24"/>
          <w:lang w:val="en-GB"/>
        </w:rPr>
      </w:pPr>
    </w:p>
    <w:p w14:paraId="361E888A" w14:textId="77777777" w:rsidR="00466A15" w:rsidRPr="00F915A7" w:rsidRDefault="00000000">
      <w:pPr>
        <w:widowControl/>
        <w:pBdr>
          <w:top w:val="nil"/>
          <w:left w:val="nil"/>
          <w:bottom w:val="nil"/>
          <w:right w:val="nil"/>
          <w:between w:val="nil"/>
        </w:pBdr>
        <w:spacing w:after="80"/>
        <w:ind w:left="283"/>
        <w:jc w:val="both"/>
        <w:rPr>
          <w:i/>
          <w:iCs/>
          <w:color w:val="9A0203"/>
          <w:sz w:val="24"/>
          <w:szCs w:val="24"/>
          <w:lang w:val="en-GB"/>
        </w:rPr>
      </w:pPr>
      <w:r w:rsidRPr="00F915A7">
        <w:rPr>
          <w:i/>
          <w:iCs/>
          <w:color w:val="9A0203"/>
          <w:sz w:val="24"/>
          <w:szCs w:val="24"/>
          <w:lang w:val="en-GB"/>
        </w:rPr>
        <w:t>4.5. Case Studies: HBO Max</w:t>
      </w:r>
    </w:p>
    <w:p w14:paraId="4C68ECF9" w14:textId="4FC0F27E" w:rsidR="00466A15" w:rsidRPr="00F915A7" w:rsidRDefault="00000000">
      <w:pPr>
        <w:widowControl/>
        <w:pBdr>
          <w:top w:val="nil"/>
          <w:left w:val="nil"/>
          <w:bottom w:val="nil"/>
          <w:right w:val="nil"/>
          <w:between w:val="nil"/>
        </w:pBdr>
        <w:spacing w:after="80"/>
        <w:ind w:left="283"/>
        <w:jc w:val="both"/>
        <w:rPr>
          <w:color w:val="000000"/>
          <w:sz w:val="24"/>
          <w:szCs w:val="24"/>
          <w:lang w:val="en-GB"/>
        </w:rPr>
      </w:pPr>
      <w:r w:rsidRPr="00F915A7">
        <w:rPr>
          <w:color w:val="000000"/>
          <w:sz w:val="24"/>
          <w:szCs w:val="24"/>
          <w:lang w:val="en-GB"/>
        </w:rPr>
        <w:lastRenderedPageBreak/>
        <w:t xml:space="preserve">HBO Max is integrated into the Warner Bros. Discovery conglomerate, which incorporates assets from Warner Bros. (audiovisual production and distribution) and the HBO brand; this corporate structure shapes the platform's </w:t>
      </w:r>
      <w:proofErr w:type="spellStart"/>
      <w:r w:rsidRPr="00F915A7">
        <w:rPr>
          <w:color w:val="000000"/>
          <w:sz w:val="24"/>
          <w:szCs w:val="24"/>
          <w:lang w:val="en-GB"/>
        </w:rPr>
        <w:t>catalog</w:t>
      </w:r>
      <w:proofErr w:type="spellEnd"/>
      <w:r w:rsidRPr="00F915A7">
        <w:rPr>
          <w:color w:val="000000"/>
          <w:sz w:val="24"/>
          <w:szCs w:val="24"/>
          <w:lang w:val="en-GB"/>
        </w:rPr>
        <w:t xml:space="preserve"> strategy, windowing policy, and commercial positioning. Consistent with the aforementioned trends, HBO Max</w:t>
      </w:r>
      <w:r w:rsidR="00750BA0">
        <w:rPr>
          <w:rStyle w:val="Refdenotaalpie"/>
          <w:color w:val="000000"/>
          <w:sz w:val="24"/>
          <w:szCs w:val="24"/>
          <w:lang w:val="en-GB"/>
        </w:rPr>
        <w:footnoteReference w:id="1"/>
      </w:r>
      <w:r w:rsidRPr="00F915A7">
        <w:rPr>
          <w:color w:val="000000"/>
          <w:sz w:val="24"/>
          <w:szCs w:val="24"/>
          <w:lang w:val="en-GB"/>
        </w:rPr>
        <w:t xml:space="preserve"> articulates ad-supported and ad-free subscription tiers, allowing it to segment demand based on willingness to pay and advertising tolerance.</w:t>
      </w:r>
    </w:p>
    <w:p w14:paraId="7057FA4D" w14:textId="77777777" w:rsidR="00466A15" w:rsidRPr="00F915A7" w:rsidRDefault="00466A15">
      <w:pPr>
        <w:widowControl/>
        <w:pBdr>
          <w:top w:val="nil"/>
          <w:left w:val="nil"/>
          <w:bottom w:val="nil"/>
          <w:right w:val="nil"/>
          <w:between w:val="nil"/>
        </w:pBdr>
        <w:spacing w:after="80"/>
        <w:ind w:left="283"/>
        <w:jc w:val="both"/>
        <w:rPr>
          <w:color w:val="000000"/>
          <w:sz w:val="24"/>
          <w:szCs w:val="24"/>
          <w:lang w:val="en-GB"/>
        </w:rPr>
      </w:pPr>
    </w:p>
    <w:p w14:paraId="7A2A40BF" w14:textId="77777777" w:rsidR="00466A15" w:rsidRPr="00F915A7" w:rsidRDefault="00000000">
      <w:pPr>
        <w:widowControl/>
        <w:pBdr>
          <w:top w:val="nil"/>
          <w:left w:val="nil"/>
          <w:bottom w:val="nil"/>
          <w:right w:val="nil"/>
          <w:between w:val="nil"/>
        </w:pBdr>
        <w:spacing w:after="80"/>
        <w:ind w:left="283"/>
        <w:jc w:val="both"/>
        <w:rPr>
          <w:color w:val="000000"/>
          <w:sz w:val="24"/>
          <w:szCs w:val="24"/>
          <w:lang w:val="en-GB"/>
        </w:rPr>
      </w:pPr>
      <w:r w:rsidRPr="00F915A7">
        <w:rPr>
          <w:color w:val="000000"/>
          <w:sz w:val="24"/>
          <w:szCs w:val="24"/>
          <w:lang w:val="en-GB"/>
        </w:rPr>
        <w:t>Since its latest redesign, HBO Max includes a standard ad-supported plan for €6.99/month and a premium ad-free plan for €13.99/month, while also allowing the integration of sports content and live channels. This has expanded its offering and justified the inclusion of advertising as a revenue stream (Caballero, 2025).</w:t>
      </w:r>
    </w:p>
    <w:p w14:paraId="4202EB6E" w14:textId="77777777" w:rsidR="00466A15" w:rsidRPr="00F915A7" w:rsidRDefault="00466A15">
      <w:pPr>
        <w:widowControl/>
        <w:pBdr>
          <w:top w:val="nil"/>
          <w:left w:val="nil"/>
          <w:bottom w:val="nil"/>
          <w:right w:val="nil"/>
          <w:between w:val="nil"/>
        </w:pBdr>
        <w:spacing w:after="80"/>
        <w:ind w:left="283"/>
        <w:jc w:val="both"/>
        <w:rPr>
          <w:color w:val="000000"/>
          <w:sz w:val="24"/>
          <w:szCs w:val="24"/>
          <w:lang w:val="en-GB"/>
        </w:rPr>
      </w:pPr>
    </w:p>
    <w:p w14:paraId="050EA12C" w14:textId="77777777" w:rsidR="00466A15" w:rsidRPr="00F915A7" w:rsidRDefault="00000000">
      <w:pPr>
        <w:widowControl/>
        <w:pBdr>
          <w:top w:val="nil"/>
          <w:left w:val="nil"/>
          <w:bottom w:val="nil"/>
          <w:right w:val="nil"/>
          <w:between w:val="nil"/>
        </w:pBdr>
        <w:spacing w:after="80"/>
        <w:ind w:left="283"/>
        <w:jc w:val="both"/>
        <w:rPr>
          <w:color w:val="000000"/>
          <w:sz w:val="24"/>
          <w:szCs w:val="24"/>
          <w:lang w:val="en-GB"/>
        </w:rPr>
      </w:pPr>
      <w:r w:rsidRPr="00F915A7">
        <w:rPr>
          <w:color w:val="000000"/>
          <w:sz w:val="24"/>
          <w:szCs w:val="24"/>
          <w:lang w:val="en-GB"/>
        </w:rPr>
        <w:t>This new content strategy for HBO Max, which ranges from prestige dramas to lighter programming, seeks to attract a wide range of advertisers. Globally, HBO Max’s ad-supported plan accounts for 35% of its revenue, while in Spain, this figure has already reached 25%.</w:t>
      </w:r>
    </w:p>
    <w:p w14:paraId="1D49D008" w14:textId="77777777" w:rsidR="00466A15" w:rsidRPr="00F915A7" w:rsidRDefault="00466A15">
      <w:pPr>
        <w:widowControl/>
        <w:pBdr>
          <w:top w:val="nil"/>
          <w:left w:val="nil"/>
          <w:bottom w:val="nil"/>
          <w:right w:val="nil"/>
          <w:between w:val="nil"/>
        </w:pBdr>
        <w:spacing w:after="80"/>
        <w:ind w:left="283"/>
        <w:jc w:val="both"/>
        <w:rPr>
          <w:color w:val="000000"/>
          <w:sz w:val="24"/>
          <w:szCs w:val="24"/>
          <w:lang w:val="en-GB"/>
        </w:rPr>
      </w:pPr>
    </w:p>
    <w:p w14:paraId="33BE7B7A" w14:textId="77777777" w:rsidR="00466A15" w:rsidRPr="00F915A7" w:rsidRDefault="00000000">
      <w:pPr>
        <w:widowControl/>
        <w:pBdr>
          <w:top w:val="nil"/>
          <w:left w:val="nil"/>
          <w:bottom w:val="nil"/>
          <w:right w:val="nil"/>
          <w:between w:val="nil"/>
        </w:pBdr>
        <w:spacing w:after="80"/>
        <w:ind w:left="283"/>
        <w:jc w:val="both"/>
        <w:rPr>
          <w:color w:val="000000"/>
          <w:sz w:val="24"/>
          <w:szCs w:val="24"/>
          <w:lang w:val="en-GB"/>
        </w:rPr>
      </w:pPr>
      <w:r w:rsidRPr="00F915A7">
        <w:rPr>
          <w:color w:val="000000"/>
          <w:sz w:val="24"/>
          <w:szCs w:val="24"/>
          <w:lang w:val="en-GB"/>
        </w:rPr>
        <w:t>In the first quarter of 2025, Warner Bros. Discovery, which includes HBO Max, reached total revenues of $9 billion (with a 9% decrease, currency-adjusted). Its adjusted EBITDA results were $2.1 billion, representing a 4% increase. Due to amortization and company restructuring, it incurred a net loss of $500 million, despite the number of streaming subscribers reaching 122.3 million (with a growth of 5.3 million compared to the last quarter of 2024). Its free cash flow was $300 million, and the business conglomerate reduced its debt by a total of $2.2 billion.</w:t>
      </w:r>
    </w:p>
    <w:p w14:paraId="2D93D67B" w14:textId="77777777" w:rsidR="00466A15" w:rsidRPr="00F915A7" w:rsidRDefault="00466A15">
      <w:pPr>
        <w:widowControl/>
        <w:pBdr>
          <w:top w:val="nil"/>
          <w:left w:val="nil"/>
          <w:bottom w:val="nil"/>
          <w:right w:val="nil"/>
          <w:between w:val="nil"/>
        </w:pBdr>
        <w:spacing w:after="80"/>
        <w:ind w:left="283"/>
        <w:jc w:val="both"/>
        <w:rPr>
          <w:color w:val="000000"/>
          <w:sz w:val="24"/>
          <w:szCs w:val="24"/>
          <w:lang w:val="en-GB"/>
        </w:rPr>
      </w:pPr>
    </w:p>
    <w:p w14:paraId="1B97FA63" w14:textId="77777777" w:rsidR="00466A15" w:rsidRPr="00F915A7" w:rsidRDefault="00000000">
      <w:pPr>
        <w:widowControl/>
        <w:pBdr>
          <w:top w:val="nil"/>
          <w:left w:val="nil"/>
          <w:bottom w:val="nil"/>
          <w:right w:val="nil"/>
          <w:between w:val="nil"/>
        </w:pBdr>
        <w:spacing w:after="80"/>
        <w:ind w:left="283"/>
        <w:jc w:val="both"/>
        <w:rPr>
          <w:i/>
          <w:iCs/>
          <w:color w:val="9A0203"/>
          <w:sz w:val="24"/>
          <w:szCs w:val="24"/>
          <w:lang w:val="en-GB"/>
        </w:rPr>
      </w:pPr>
      <w:r w:rsidRPr="00F915A7">
        <w:rPr>
          <w:i/>
          <w:iCs/>
          <w:color w:val="9A0203"/>
          <w:sz w:val="24"/>
          <w:szCs w:val="24"/>
          <w:lang w:val="en-GB"/>
        </w:rPr>
        <w:t>4.6. Economic Impact, User Reactions, and Regional Trends</w:t>
      </w:r>
    </w:p>
    <w:p w14:paraId="306D694E" w14:textId="77777777" w:rsidR="00466A15" w:rsidRPr="00F915A7" w:rsidRDefault="00000000">
      <w:pPr>
        <w:widowControl/>
        <w:pBdr>
          <w:top w:val="nil"/>
          <w:left w:val="nil"/>
          <w:bottom w:val="nil"/>
          <w:right w:val="nil"/>
          <w:between w:val="nil"/>
        </w:pBdr>
        <w:spacing w:after="80"/>
        <w:ind w:left="283"/>
        <w:jc w:val="both"/>
        <w:rPr>
          <w:color w:val="000000"/>
          <w:sz w:val="24"/>
          <w:szCs w:val="24"/>
          <w:lang w:val="en-GB"/>
        </w:rPr>
      </w:pPr>
      <w:r w:rsidRPr="00F915A7">
        <w:rPr>
          <w:color w:val="000000"/>
          <w:sz w:val="24"/>
          <w:szCs w:val="24"/>
          <w:lang w:val="en-GB"/>
        </w:rPr>
        <w:t>User reactions to the inclusion of advertising vary significantly. While affordability is a key driver for the adoption of ad-supported plans—particularly in markets like Mexico—there is a notable "ad resistance" in markets with a strong tradition of pure SVOD, such as Spain. The perceived value of the service can be negatively impacted if ad frequency or relevance is deemed inadequate.</w:t>
      </w:r>
    </w:p>
    <w:p w14:paraId="706D97CB" w14:textId="77777777" w:rsidR="00466A15" w:rsidRPr="00F915A7" w:rsidRDefault="00466A15">
      <w:pPr>
        <w:widowControl/>
        <w:pBdr>
          <w:top w:val="nil"/>
          <w:left w:val="nil"/>
          <w:bottom w:val="nil"/>
          <w:right w:val="nil"/>
          <w:between w:val="nil"/>
        </w:pBdr>
        <w:spacing w:after="80"/>
        <w:ind w:left="283"/>
        <w:jc w:val="both"/>
        <w:rPr>
          <w:color w:val="000000"/>
          <w:sz w:val="24"/>
          <w:szCs w:val="24"/>
          <w:lang w:val="en-GB"/>
        </w:rPr>
      </w:pPr>
    </w:p>
    <w:p w14:paraId="37654B5F" w14:textId="77777777" w:rsidR="00466A15" w:rsidRPr="00F915A7" w:rsidRDefault="00000000">
      <w:pPr>
        <w:widowControl/>
        <w:pBdr>
          <w:top w:val="nil"/>
          <w:left w:val="nil"/>
          <w:bottom w:val="nil"/>
          <w:right w:val="nil"/>
          <w:between w:val="nil"/>
        </w:pBdr>
        <w:spacing w:after="80"/>
        <w:ind w:left="283"/>
        <w:jc w:val="both"/>
        <w:rPr>
          <w:color w:val="000000"/>
          <w:sz w:val="24"/>
          <w:szCs w:val="24"/>
          <w:lang w:val="en-GB"/>
        </w:rPr>
      </w:pPr>
      <w:r w:rsidRPr="00F915A7">
        <w:rPr>
          <w:color w:val="000000"/>
          <w:sz w:val="24"/>
          <w:szCs w:val="24"/>
          <w:lang w:val="en-GB"/>
        </w:rPr>
        <w:t>The general trend is moving toward a hybrid business model as the new industry standard, seeking to increase both revenue and market share. The key economic factors driving this transition include SVOD market saturation (</w:t>
      </w:r>
      <w:proofErr w:type="spellStart"/>
      <w:r w:rsidRPr="00F915A7">
        <w:rPr>
          <w:color w:val="000000"/>
          <w:sz w:val="24"/>
          <w:szCs w:val="24"/>
          <w:lang w:val="en-GB"/>
        </w:rPr>
        <w:t>Arbolejo</w:t>
      </w:r>
      <w:proofErr w:type="spellEnd"/>
      <w:r w:rsidRPr="00F915A7">
        <w:rPr>
          <w:color w:val="000000"/>
          <w:sz w:val="24"/>
          <w:szCs w:val="24"/>
          <w:lang w:val="en-GB"/>
        </w:rPr>
        <w:t>, 2025), high content costs, subscription fatigue, intense competition, and growing advertiser demand for access to streaming audiences.</w:t>
      </w:r>
    </w:p>
    <w:p w14:paraId="44094278" w14:textId="77777777" w:rsidR="00466A15" w:rsidRPr="00F915A7" w:rsidRDefault="00466A15">
      <w:pPr>
        <w:widowControl/>
        <w:pBdr>
          <w:top w:val="nil"/>
          <w:left w:val="nil"/>
          <w:bottom w:val="nil"/>
          <w:right w:val="nil"/>
          <w:between w:val="nil"/>
        </w:pBdr>
        <w:spacing w:after="80"/>
        <w:ind w:left="283"/>
        <w:jc w:val="both"/>
        <w:rPr>
          <w:color w:val="000000"/>
          <w:sz w:val="24"/>
          <w:szCs w:val="24"/>
          <w:lang w:val="en-GB"/>
        </w:rPr>
      </w:pPr>
    </w:p>
    <w:p w14:paraId="3247CFF5" w14:textId="77777777" w:rsidR="00466A15" w:rsidRPr="00F915A7" w:rsidRDefault="00000000">
      <w:pPr>
        <w:widowControl/>
        <w:pBdr>
          <w:top w:val="nil"/>
          <w:left w:val="nil"/>
          <w:bottom w:val="nil"/>
          <w:right w:val="nil"/>
          <w:between w:val="nil"/>
        </w:pBdr>
        <w:spacing w:after="80"/>
        <w:ind w:left="283"/>
        <w:jc w:val="both"/>
        <w:rPr>
          <w:color w:val="000000"/>
          <w:sz w:val="24"/>
          <w:szCs w:val="24"/>
          <w:lang w:val="en-GB"/>
        </w:rPr>
      </w:pPr>
      <w:r w:rsidRPr="00F915A7">
        <w:rPr>
          <w:color w:val="000000"/>
          <w:sz w:val="24"/>
          <w:szCs w:val="24"/>
          <w:lang w:val="en-GB"/>
        </w:rPr>
        <w:t>As shown in Figure 3, Netflix stands out as the platform with the most robust financial growth in 2025, in terms of both revenue and profit. Netflix generates nearly 29% of its revenue from the advertising model, confirming its strong commitment to this channel. HBO Max, for its part, excels in new subscriber acquisition despite its net losses.</w:t>
      </w:r>
    </w:p>
    <w:p w14:paraId="0801C618" w14:textId="77777777" w:rsidR="00466A15" w:rsidRPr="00F915A7" w:rsidRDefault="00466A15">
      <w:pPr>
        <w:widowControl/>
        <w:pBdr>
          <w:top w:val="nil"/>
          <w:left w:val="nil"/>
          <w:bottom w:val="nil"/>
          <w:right w:val="nil"/>
          <w:between w:val="nil"/>
        </w:pBdr>
        <w:spacing w:after="80"/>
        <w:ind w:left="283"/>
        <w:jc w:val="center"/>
        <w:rPr>
          <w:color w:val="000000"/>
          <w:lang w:val="en-GB"/>
        </w:rPr>
      </w:pPr>
    </w:p>
    <w:p w14:paraId="47194343" w14:textId="77777777" w:rsidR="00466A15" w:rsidRPr="00F915A7" w:rsidRDefault="00000000">
      <w:pPr>
        <w:widowControl/>
        <w:pBdr>
          <w:top w:val="nil"/>
          <w:left w:val="nil"/>
          <w:bottom w:val="nil"/>
          <w:right w:val="nil"/>
          <w:between w:val="nil"/>
        </w:pBdr>
        <w:spacing w:after="80"/>
        <w:ind w:left="283"/>
        <w:jc w:val="center"/>
        <w:rPr>
          <w:color w:val="000000"/>
          <w:lang w:val="en-GB"/>
        </w:rPr>
      </w:pPr>
      <w:r w:rsidRPr="00F915A7">
        <w:rPr>
          <w:color w:val="000000"/>
          <w:lang w:val="en-GB"/>
        </w:rPr>
        <w:t>Figure 3. Global growth of leading streaming platforms in 2025</w:t>
      </w:r>
    </w:p>
    <w:p w14:paraId="2F363230" w14:textId="77777777" w:rsidR="00466A15" w:rsidRDefault="00000000">
      <w:pPr>
        <w:widowControl/>
        <w:pBdr>
          <w:top w:val="nil"/>
          <w:left w:val="nil"/>
          <w:bottom w:val="nil"/>
          <w:right w:val="nil"/>
          <w:between w:val="nil"/>
        </w:pBdr>
        <w:spacing w:after="80"/>
        <w:ind w:left="283"/>
        <w:rPr>
          <w:color w:val="000000"/>
          <w:sz w:val="20"/>
          <w:szCs w:val="20"/>
        </w:rPr>
      </w:pPr>
      <w:r>
        <w:rPr>
          <w:noProof/>
          <w:color w:val="000000"/>
          <w:sz w:val="20"/>
          <w:szCs w:val="20"/>
        </w:rPr>
        <w:drawing>
          <wp:inline distT="0" distB="0" distL="0" distR="0" wp14:anchorId="03590775" wp14:editId="097FB35A">
            <wp:extent cx="4826000" cy="2896870"/>
            <wp:effectExtent l="0" t="0" r="0" b="0"/>
            <wp:docPr id="2090919768" name="image3.png" descr="Gráfico, Gráfico en cascad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Gráfico, Gráfico en cascada&#10;&#10;El contenido generado por IA puede ser incorrecto."/>
                    <pic:cNvPicPr preferRelativeResize="0"/>
                  </pic:nvPicPr>
                  <pic:blipFill>
                    <a:blip r:embed="rId19"/>
                    <a:srcRect/>
                    <a:stretch>
                      <a:fillRect/>
                    </a:stretch>
                  </pic:blipFill>
                  <pic:spPr>
                    <a:xfrm>
                      <a:off x="0" y="0"/>
                      <a:ext cx="4826000" cy="2896870"/>
                    </a:xfrm>
                    <a:prstGeom prst="rect">
                      <a:avLst/>
                    </a:prstGeom>
                    <a:ln/>
                  </pic:spPr>
                </pic:pic>
              </a:graphicData>
            </a:graphic>
          </wp:inline>
        </w:drawing>
      </w:r>
    </w:p>
    <w:p w14:paraId="4D3034E7" w14:textId="77777777" w:rsidR="00466A15" w:rsidRPr="00F915A7" w:rsidRDefault="00000000">
      <w:pPr>
        <w:widowControl/>
        <w:pBdr>
          <w:top w:val="nil"/>
          <w:left w:val="nil"/>
          <w:bottom w:val="nil"/>
          <w:right w:val="nil"/>
          <w:between w:val="nil"/>
        </w:pBdr>
        <w:spacing w:after="80"/>
        <w:ind w:left="283"/>
        <w:jc w:val="center"/>
        <w:rPr>
          <w:color w:val="000000"/>
          <w:sz w:val="16"/>
          <w:szCs w:val="16"/>
          <w:lang w:val="en-GB"/>
        </w:rPr>
      </w:pPr>
      <w:r w:rsidRPr="00F915A7">
        <w:rPr>
          <w:lang w:val="en-GB"/>
        </w:rPr>
        <w:t>Source: Own elaboration</w:t>
      </w:r>
    </w:p>
    <w:p w14:paraId="4D6A571C" w14:textId="77777777" w:rsidR="00466A15" w:rsidRPr="00F915A7" w:rsidRDefault="00466A15">
      <w:pPr>
        <w:widowControl/>
        <w:pBdr>
          <w:top w:val="nil"/>
          <w:left w:val="nil"/>
          <w:bottom w:val="nil"/>
          <w:right w:val="nil"/>
          <w:between w:val="nil"/>
        </w:pBdr>
        <w:spacing w:after="80"/>
        <w:ind w:left="283"/>
        <w:jc w:val="both"/>
        <w:rPr>
          <w:sz w:val="24"/>
          <w:szCs w:val="24"/>
          <w:lang w:val="en-GB"/>
        </w:rPr>
      </w:pPr>
    </w:p>
    <w:p w14:paraId="039CBB2C" w14:textId="77777777" w:rsidR="00466A15" w:rsidRPr="00F915A7" w:rsidRDefault="00000000">
      <w:pPr>
        <w:widowControl/>
        <w:pBdr>
          <w:top w:val="nil"/>
          <w:left w:val="nil"/>
          <w:bottom w:val="nil"/>
          <w:right w:val="nil"/>
          <w:between w:val="nil"/>
        </w:pBdr>
        <w:spacing w:after="80"/>
        <w:ind w:left="283"/>
        <w:jc w:val="both"/>
        <w:rPr>
          <w:color w:val="000000"/>
          <w:sz w:val="24"/>
          <w:szCs w:val="24"/>
          <w:lang w:val="en-GB"/>
        </w:rPr>
      </w:pPr>
      <w:r w:rsidRPr="00F915A7">
        <w:rPr>
          <w:color w:val="000000"/>
          <w:sz w:val="24"/>
          <w:szCs w:val="24"/>
          <w:lang w:val="en-GB"/>
        </w:rPr>
        <w:t xml:space="preserve">As shown in Table 2, nearly 825 million streaming service subscribers are concentrated across the four platforms studied, with projected advertising revenue reaching $12.35 billion. Netflix is the only "pure player" that has provided advertising revenue data to its shareholders; the other three platforms are increasingly integrating more advertising into their subscription plans </w:t>
      </w:r>
      <w:r w:rsidRPr="00F915A7">
        <w:rPr>
          <w:color w:val="000000"/>
          <w:sz w:val="24"/>
          <w:szCs w:val="24"/>
          <w:lang w:val="en-GB"/>
        </w:rPr>
        <w:lastRenderedPageBreak/>
        <w:t>quarter by quarter. In this table, the total revenue indicator is presented at the parent company level (due to document availability and comparability), and is therefore used as a scale context rather than a direct attribution of revenue to each specific platform.</w:t>
      </w:r>
    </w:p>
    <w:p w14:paraId="2EC52CF9" w14:textId="77777777" w:rsidR="00466A15" w:rsidRPr="00F915A7" w:rsidRDefault="00466A15">
      <w:pPr>
        <w:widowControl/>
        <w:pBdr>
          <w:top w:val="nil"/>
          <w:left w:val="nil"/>
          <w:bottom w:val="nil"/>
          <w:right w:val="nil"/>
          <w:between w:val="nil"/>
        </w:pBdr>
        <w:spacing w:after="80"/>
        <w:jc w:val="center"/>
        <w:rPr>
          <w:color w:val="000000"/>
          <w:sz w:val="20"/>
          <w:szCs w:val="20"/>
          <w:lang w:val="en-GB"/>
        </w:rPr>
      </w:pPr>
    </w:p>
    <w:p w14:paraId="5D5B29D1" w14:textId="77777777" w:rsidR="00466A15" w:rsidRPr="00F915A7" w:rsidRDefault="00000000">
      <w:pPr>
        <w:widowControl/>
        <w:pBdr>
          <w:top w:val="nil"/>
          <w:left w:val="nil"/>
          <w:bottom w:val="nil"/>
          <w:right w:val="nil"/>
          <w:between w:val="nil"/>
        </w:pBdr>
        <w:spacing w:after="80"/>
        <w:jc w:val="center"/>
        <w:rPr>
          <w:color w:val="000000"/>
          <w:sz w:val="20"/>
          <w:szCs w:val="20"/>
          <w:lang w:val="en-GB"/>
        </w:rPr>
      </w:pPr>
      <w:r w:rsidRPr="00F915A7">
        <w:rPr>
          <w:color w:val="000000"/>
          <w:sz w:val="20"/>
          <w:szCs w:val="20"/>
          <w:lang w:val="en-GB"/>
        </w:rPr>
        <w:t>Table 2. Global subscribers of streaming platforms in 2025</w:t>
      </w:r>
    </w:p>
    <w:tbl>
      <w:tblPr>
        <w:tblStyle w:val="a6"/>
        <w:tblW w:w="7590" w:type="dxa"/>
        <w:tblInd w:w="0" w:type="dxa"/>
        <w:tblLayout w:type="fixed"/>
        <w:tblLook w:val="0400" w:firstRow="0" w:lastRow="0" w:firstColumn="0" w:lastColumn="0" w:noHBand="0" w:noVBand="1"/>
      </w:tblPr>
      <w:tblGrid>
        <w:gridCol w:w="1239"/>
        <w:gridCol w:w="1781"/>
        <w:gridCol w:w="1681"/>
        <w:gridCol w:w="1450"/>
        <w:gridCol w:w="1439"/>
      </w:tblGrid>
      <w:tr w:rsidR="00466A15" w14:paraId="3D1C8507" w14:textId="77777777">
        <w:trPr>
          <w:trHeight w:val="885"/>
        </w:trPr>
        <w:tc>
          <w:tcPr>
            <w:tcW w:w="1239" w:type="dxa"/>
            <w:tcBorders>
              <w:top w:val="single" w:sz="4" w:space="0" w:color="E6E6E6"/>
              <w:left w:val="single" w:sz="4" w:space="0" w:color="E6E6E6"/>
              <w:bottom w:val="single" w:sz="4" w:space="0" w:color="E6E6E6"/>
              <w:right w:val="single" w:sz="4" w:space="0" w:color="E6E6E6"/>
            </w:tcBorders>
            <w:shd w:val="clear" w:color="auto" w:fill="F5F5F5"/>
            <w:tcMar>
              <w:top w:w="120" w:type="dxa"/>
              <w:left w:w="180" w:type="dxa"/>
              <w:bottom w:w="100" w:type="dxa"/>
              <w:right w:w="120" w:type="dxa"/>
            </w:tcMar>
          </w:tcPr>
          <w:p w14:paraId="0D601D35" w14:textId="73E94B99" w:rsidR="00466A15" w:rsidRDefault="00000000">
            <w:pPr>
              <w:widowControl/>
              <w:pBdr>
                <w:top w:val="nil"/>
                <w:left w:val="nil"/>
                <w:bottom w:val="nil"/>
                <w:right w:val="nil"/>
                <w:between w:val="nil"/>
              </w:pBdr>
              <w:spacing w:after="80"/>
              <w:rPr>
                <w:color w:val="000000"/>
                <w:sz w:val="20"/>
                <w:szCs w:val="20"/>
              </w:rPr>
            </w:pPr>
            <w:proofErr w:type="spellStart"/>
            <w:r>
              <w:rPr>
                <w:color w:val="000000"/>
                <w:sz w:val="20"/>
                <w:szCs w:val="20"/>
              </w:rPr>
              <w:t>Platform</w:t>
            </w:r>
            <w:proofErr w:type="spellEnd"/>
          </w:p>
        </w:tc>
        <w:tc>
          <w:tcPr>
            <w:tcW w:w="1781" w:type="dxa"/>
            <w:tcBorders>
              <w:top w:val="single" w:sz="4" w:space="0" w:color="E6E6E6"/>
              <w:left w:val="single" w:sz="4" w:space="0" w:color="E6E6E6"/>
              <w:bottom w:val="single" w:sz="4" w:space="0" w:color="E6E6E6"/>
              <w:right w:val="single" w:sz="4" w:space="0" w:color="E6E6E6"/>
            </w:tcBorders>
            <w:shd w:val="clear" w:color="auto" w:fill="F5F5F5"/>
            <w:tcMar>
              <w:top w:w="120" w:type="dxa"/>
              <w:left w:w="180" w:type="dxa"/>
              <w:bottom w:w="100" w:type="dxa"/>
              <w:right w:w="120" w:type="dxa"/>
            </w:tcMar>
          </w:tcPr>
          <w:p w14:paraId="3B4D2B68" w14:textId="77777777" w:rsidR="00466A15" w:rsidRPr="00F915A7" w:rsidRDefault="00000000">
            <w:pPr>
              <w:widowControl/>
              <w:pBdr>
                <w:top w:val="nil"/>
                <w:left w:val="nil"/>
                <w:bottom w:val="nil"/>
                <w:right w:val="nil"/>
                <w:between w:val="nil"/>
              </w:pBdr>
              <w:spacing w:after="80"/>
              <w:rPr>
                <w:color w:val="000000"/>
                <w:sz w:val="20"/>
                <w:szCs w:val="20"/>
                <w:lang w:val="en-GB"/>
              </w:rPr>
            </w:pPr>
            <w:r w:rsidRPr="00F915A7">
              <w:rPr>
                <w:lang w:val="en-GB"/>
              </w:rPr>
              <w:t>Total Revenue (Parent Company, millions USD)</w:t>
            </w:r>
          </w:p>
        </w:tc>
        <w:tc>
          <w:tcPr>
            <w:tcW w:w="1681" w:type="dxa"/>
            <w:tcBorders>
              <w:top w:val="single" w:sz="4" w:space="0" w:color="E6E6E6"/>
              <w:left w:val="single" w:sz="4" w:space="0" w:color="E6E6E6"/>
              <w:bottom w:val="single" w:sz="4" w:space="0" w:color="E6E6E6"/>
              <w:right w:val="single" w:sz="4" w:space="0" w:color="E6E6E6"/>
            </w:tcBorders>
            <w:shd w:val="clear" w:color="auto" w:fill="F5F5F5"/>
            <w:tcMar>
              <w:top w:w="120" w:type="dxa"/>
              <w:left w:w="180" w:type="dxa"/>
              <w:bottom w:w="100" w:type="dxa"/>
              <w:right w:w="120" w:type="dxa"/>
            </w:tcMar>
          </w:tcPr>
          <w:p w14:paraId="1A87149E" w14:textId="77777777" w:rsidR="00466A15" w:rsidRDefault="00000000">
            <w:pPr>
              <w:widowControl/>
              <w:pBdr>
                <w:top w:val="nil"/>
                <w:left w:val="nil"/>
                <w:bottom w:val="nil"/>
                <w:right w:val="nil"/>
                <w:between w:val="nil"/>
              </w:pBdr>
              <w:spacing w:after="80"/>
              <w:rPr>
                <w:color w:val="000000"/>
                <w:sz w:val="20"/>
                <w:szCs w:val="20"/>
              </w:rPr>
            </w:pPr>
            <w:proofErr w:type="spellStart"/>
            <w:r>
              <w:t>Advertising</w:t>
            </w:r>
            <w:proofErr w:type="spellEnd"/>
            <w:r>
              <w:t xml:space="preserve"> </w:t>
            </w:r>
            <w:proofErr w:type="spellStart"/>
            <w:r>
              <w:t>Revenue</w:t>
            </w:r>
            <w:proofErr w:type="spellEnd"/>
            <w:r>
              <w:t xml:space="preserve"> (</w:t>
            </w:r>
            <w:proofErr w:type="spellStart"/>
            <w:r>
              <w:t>millions</w:t>
            </w:r>
            <w:proofErr w:type="spellEnd"/>
            <w:r>
              <w:t xml:space="preserve"> USD)</w:t>
            </w:r>
          </w:p>
        </w:tc>
        <w:tc>
          <w:tcPr>
            <w:tcW w:w="1450" w:type="dxa"/>
            <w:tcBorders>
              <w:top w:val="single" w:sz="4" w:space="0" w:color="E6E6E6"/>
              <w:left w:val="single" w:sz="4" w:space="0" w:color="E6E6E6"/>
              <w:bottom w:val="single" w:sz="4" w:space="0" w:color="E6E6E6"/>
              <w:right w:val="single" w:sz="4" w:space="0" w:color="E6E6E6"/>
            </w:tcBorders>
            <w:shd w:val="clear" w:color="auto" w:fill="F5F5F5"/>
            <w:tcMar>
              <w:top w:w="120" w:type="dxa"/>
              <w:left w:w="180" w:type="dxa"/>
              <w:bottom w:w="100" w:type="dxa"/>
              <w:right w:w="120" w:type="dxa"/>
            </w:tcMar>
          </w:tcPr>
          <w:p w14:paraId="4B2EB116" w14:textId="77777777" w:rsidR="00466A15" w:rsidRDefault="00000000">
            <w:pPr>
              <w:widowControl/>
              <w:pBdr>
                <w:top w:val="nil"/>
                <w:left w:val="nil"/>
                <w:bottom w:val="nil"/>
                <w:right w:val="nil"/>
                <w:between w:val="nil"/>
              </w:pBdr>
              <w:spacing w:after="80"/>
              <w:rPr>
                <w:color w:val="000000"/>
                <w:sz w:val="20"/>
                <w:szCs w:val="20"/>
              </w:rPr>
            </w:pPr>
            <w:proofErr w:type="spellStart"/>
            <w:r>
              <w:t>Advertising</w:t>
            </w:r>
            <w:proofErr w:type="spellEnd"/>
            <w:r>
              <w:t xml:space="preserve"> Share (%)</w:t>
            </w:r>
          </w:p>
        </w:tc>
        <w:tc>
          <w:tcPr>
            <w:tcW w:w="1439" w:type="dxa"/>
            <w:tcBorders>
              <w:top w:val="single" w:sz="4" w:space="0" w:color="E6E6E6"/>
              <w:left w:val="single" w:sz="4" w:space="0" w:color="E6E6E6"/>
              <w:bottom w:val="single" w:sz="4" w:space="0" w:color="E6E6E6"/>
              <w:right w:val="single" w:sz="4" w:space="0" w:color="E6E6E6"/>
            </w:tcBorders>
            <w:shd w:val="clear" w:color="auto" w:fill="F5F5F5"/>
            <w:tcMar>
              <w:top w:w="120" w:type="dxa"/>
              <w:left w:w="180" w:type="dxa"/>
              <w:bottom w:w="100" w:type="dxa"/>
              <w:right w:w="120" w:type="dxa"/>
            </w:tcMar>
          </w:tcPr>
          <w:p w14:paraId="594C81F7" w14:textId="77777777" w:rsidR="00466A15" w:rsidRDefault="00000000">
            <w:pPr>
              <w:widowControl/>
              <w:pBdr>
                <w:top w:val="nil"/>
                <w:left w:val="nil"/>
                <w:bottom w:val="nil"/>
                <w:right w:val="nil"/>
                <w:between w:val="nil"/>
              </w:pBdr>
              <w:spacing w:after="80"/>
              <w:rPr>
                <w:color w:val="000000"/>
                <w:sz w:val="20"/>
                <w:szCs w:val="20"/>
              </w:rPr>
            </w:pPr>
            <w:proofErr w:type="spellStart"/>
            <w:r>
              <w:t>Subscribers</w:t>
            </w:r>
            <w:proofErr w:type="spellEnd"/>
            <w:r>
              <w:t xml:space="preserve"> (</w:t>
            </w:r>
            <w:proofErr w:type="spellStart"/>
            <w:r>
              <w:t>millions</w:t>
            </w:r>
            <w:proofErr w:type="spellEnd"/>
            <w:r>
              <w:t>)</w:t>
            </w:r>
          </w:p>
          <w:p w14:paraId="6722CCED" w14:textId="77777777" w:rsidR="00466A15" w:rsidRDefault="00466A15">
            <w:pPr>
              <w:widowControl/>
              <w:pBdr>
                <w:top w:val="nil"/>
                <w:left w:val="nil"/>
                <w:bottom w:val="nil"/>
                <w:right w:val="nil"/>
                <w:between w:val="nil"/>
              </w:pBdr>
              <w:spacing w:after="80"/>
              <w:rPr>
                <w:color w:val="000000"/>
                <w:sz w:val="20"/>
                <w:szCs w:val="20"/>
              </w:rPr>
            </w:pPr>
          </w:p>
        </w:tc>
      </w:tr>
      <w:tr w:rsidR="00466A15" w14:paraId="085FE76B" w14:textId="77777777">
        <w:trPr>
          <w:trHeight w:val="555"/>
        </w:trPr>
        <w:tc>
          <w:tcPr>
            <w:tcW w:w="1239" w:type="dxa"/>
            <w:tcBorders>
              <w:top w:val="single" w:sz="4" w:space="0" w:color="E6E6E6"/>
              <w:left w:val="single" w:sz="4" w:space="0" w:color="E6E6E6"/>
              <w:bottom w:val="single" w:sz="4" w:space="0" w:color="E6E6E6"/>
              <w:right w:val="single" w:sz="4" w:space="0" w:color="E6E6E6"/>
            </w:tcBorders>
            <w:shd w:val="clear" w:color="auto" w:fill="FAFAFA"/>
            <w:tcMar>
              <w:top w:w="120" w:type="dxa"/>
              <w:left w:w="180" w:type="dxa"/>
              <w:bottom w:w="100" w:type="dxa"/>
              <w:right w:w="120" w:type="dxa"/>
            </w:tcMar>
          </w:tcPr>
          <w:p w14:paraId="0A282AB9" w14:textId="77777777" w:rsidR="00466A15" w:rsidRDefault="00000000">
            <w:pPr>
              <w:widowControl/>
              <w:pBdr>
                <w:top w:val="nil"/>
                <w:left w:val="nil"/>
                <w:bottom w:val="nil"/>
                <w:right w:val="nil"/>
                <w:between w:val="nil"/>
              </w:pBdr>
              <w:spacing w:after="80"/>
              <w:rPr>
                <w:color w:val="000000"/>
                <w:sz w:val="20"/>
                <w:szCs w:val="20"/>
              </w:rPr>
            </w:pPr>
            <w:r>
              <w:rPr>
                <w:color w:val="000000"/>
                <w:sz w:val="20"/>
                <w:szCs w:val="20"/>
              </w:rPr>
              <w:t>Netflix</w:t>
            </w:r>
          </w:p>
        </w:tc>
        <w:tc>
          <w:tcPr>
            <w:tcW w:w="1781" w:type="dxa"/>
            <w:tcBorders>
              <w:top w:val="single" w:sz="4" w:space="0" w:color="E6E6E6"/>
              <w:left w:val="single" w:sz="4" w:space="0" w:color="E6E6E6"/>
              <w:bottom w:val="single" w:sz="4" w:space="0" w:color="E6E6E6"/>
              <w:right w:val="single" w:sz="4" w:space="0" w:color="E6E6E6"/>
            </w:tcBorders>
            <w:shd w:val="clear" w:color="auto" w:fill="FAFAFA"/>
            <w:tcMar>
              <w:top w:w="120" w:type="dxa"/>
              <w:left w:w="180" w:type="dxa"/>
              <w:bottom w:w="100" w:type="dxa"/>
              <w:right w:w="120" w:type="dxa"/>
            </w:tcMar>
          </w:tcPr>
          <w:p w14:paraId="41FBB221" w14:textId="77777777" w:rsidR="00466A15" w:rsidRDefault="00000000">
            <w:pPr>
              <w:widowControl/>
              <w:pBdr>
                <w:top w:val="nil"/>
                <w:left w:val="nil"/>
                <w:bottom w:val="nil"/>
                <w:right w:val="nil"/>
                <w:between w:val="nil"/>
              </w:pBdr>
              <w:spacing w:after="80"/>
              <w:rPr>
                <w:color w:val="000000"/>
                <w:sz w:val="20"/>
                <w:szCs w:val="20"/>
              </w:rPr>
            </w:pPr>
            <w:r>
              <w:rPr>
                <w:color w:val="000000"/>
                <w:sz w:val="20"/>
                <w:szCs w:val="20"/>
              </w:rPr>
              <w:t>11.079</w:t>
            </w:r>
          </w:p>
        </w:tc>
        <w:tc>
          <w:tcPr>
            <w:tcW w:w="1681" w:type="dxa"/>
            <w:tcBorders>
              <w:top w:val="single" w:sz="4" w:space="0" w:color="E6E6E6"/>
              <w:left w:val="single" w:sz="4" w:space="0" w:color="E6E6E6"/>
              <w:bottom w:val="single" w:sz="4" w:space="0" w:color="E6E6E6"/>
              <w:right w:val="single" w:sz="4" w:space="0" w:color="E6E6E6"/>
            </w:tcBorders>
            <w:shd w:val="clear" w:color="auto" w:fill="FAFAFA"/>
            <w:tcMar>
              <w:top w:w="120" w:type="dxa"/>
              <w:left w:w="180" w:type="dxa"/>
              <w:bottom w:w="100" w:type="dxa"/>
              <w:right w:w="120" w:type="dxa"/>
            </w:tcMar>
          </w:tcPr>
          <w:p w14:paraId="6FED7B4B" w14:textId="77777777" w:rsidR="00466A15" w:rsidRDefault="00000000">
            <w:pPr>
              <w:widowControl/>
              <w:pBdr>
                <w:top w:val="nil"/>
                <w:left w:val="nil"/>
                <w:bottom w:val="nil"/>
                <w:right w:val="nil"/>
                <w:between w:val="nil"/>
              </w:pBdr>
              <w:spacing w:after="80"/>
              <w:rPr>
                <w:color w:val="000000"/>
                <w:sz w:val="20"/>
                <w:szCs w:val="20"/>
              </w:rPr>
            </w:pPr>
            <w:r>
              <w:rPr>
                <w:color w:val="000000"/>
                <w:sz w:val="20"/>
                <w:szCs w:val="20"/>
              </w:rPr>
              <w:t>3.200</w:t>
            </w:r>
          </w:p>
        </w:tc>
        <w:tc>
          <w:tcPr>
            <w:tcW w:w="1450" w:type="dxa"/>
            <w:tcBorders>
              <w:top w:val="single" w:sz="4" w:space="0" w:color="E6E6E6"/>
              <w:left w:val="single" w:sz="4" w:space="0" w:color="E6E6E6"/>
              <w:bottom w:val="single" w:sz="4" w:space="0" w:color="E6E6E6"/>
              <w:right w:val="single" w:sz="4" w:space="0" w:color="E6E6E6"/>
            </w:tcBorders>
            <w:shd w:val="clear" w:color="auto" w:fill="FAFAFA"/>
            <w:tcMar>
              <w:top w:w="120" w:type="dxa"/>
              <w:left w:w="180" w:type="dxa"/>
              <w:bottom w:w="100" w:type="dxa"/>
              <w:right w:w="120" w:type="dxa"/>
            </w:tcMar>
          </w:tcPr>
          <w:p w14:paraId="049FEE40" w14:textId="77777777" w:rsidR="00466A15" w:rsidRDefault="00000000">
            <w:pPr>
              <w:widowControl/>
              <w:pBdr>
                <w:top w:val="nil"/>
                <w:left w:val="nil"/>
                <w:bottom w:val="nil"/>
                <w:right w:val="nil"/>
                <w:between w:val="nil"/>
              </w:pBdr>
              <w:spacing w:after="80"/>
              <w:rPr>
                <w:color w:val="000000"/>
                <w:sz w:val="20"/>
                <w:szCs w:val="20"/>
              </w:rPr>
            </w:pPr>
            <w:r>
              <w:rPr>
                <w:color w:val="000000"/>
                <w:sz w:val="20"/>
                <w:szCs w:val="20"/>
              </w:rPr>
              <w:t>28,88%</w:t>
            </w:r>
          </w:p>
        </w:tc>
        <w:tc>
          <w:tcPr>
            <w:tcW w:w="1439" w:type="dxa"/>
            <w:tcBorders>
              <w:top w:val="single" w:sz="4" w:space="0" w:color="E6E6E6"/>
              <w:left w:val="single" w:sz="4" w:space="0" w:color="E6E6E6"/>
              <w:bottom w:val="single" w:sz="4" w:space="0" w:color="E6E6E6"/>
              <w:right w:val="single" w:sz="4" w:space="0" w:color="E6E6E6"/>
            </w:tcBorders>
            <w:shd w:val="clear" w:color="auto" w:fill="FAFAFA"/>
            <w:tcMar>
              <w:top w:w="120" w:type="dxa"/>
              <w:left w:w="180" w:type="dxa"/>
              <w:bottom w:w="100" w:type="dxa"/>
              <w:right w:w="120" w:type="dxa"/>
            </w:tcMar>
          </w:tcPr>
          <w:p w14:paraId="0683C66D" w14:textId="77777777" w:rsidR="00466A15" w:rsidRDefault="00000000">
            <w:pPr>
              <w:widowControl/>
              <w:pBdr>
                <w:top w:val="nil"/>
                <w:left w:val="nil"/>
                <w:bottom w:val="nil"/>
                <w:right w:val="nil"/>
                <w:between w:val="nil"/>
              </w:pBdr>
              <w:spacing w:after="80"/>
              <w:rPr>
                <w:color w:val="000000"/>
                <w:sz w:val="20"/>
                <w:szCs w:val="20"/>
              </w:rPr>
            </w:pPr>
            <w:r>
              <w:rPr>
                <w:color w:val="000000"/>
                <w:sz w:val="20"/>
                <w:szCs w:val="20"/>
              </w:rPr>
              <w:t>301,6</w:t>
            </w:r>
          </w:p>
        </w:tc>
      </w:tr>
      <w:tr w:rsidR="00466A15" w14:paraId="692622B5" w14:textId="77777777">
        <w:trPr>
          <w:trHeight w:val="555"/>
        </w:trPr>
        <w:tc>
          <w:tcPr>
            <w:tcW w:w="1239" w:type="dxa"/>
            <w:tcBorders>
              <w:top w:val="single" w:sz="4" w:space="0" w:color="E6E6E6"/>
              <w:left w:val="single" w:sz="4" w:space="0" w:color="E6E6E6"/>
              <w:bottom w:val="single" w:sz="4" w:space="0" w:color="E6E6E6"/>
              <w:right w:val="single" w:sz="4" w:space="0" w:color="E6E6E6"/>
            </w:tcBorders>
            <w:shd w:val="clear" w:color="auto" w:fill="FAFAFA"/>
            <w:tcMar>
              <w:top w:w="120" w:type="dxa"/>
              <w:left w:w="180" w:type="dxa"/>
              <w:bottom w:w="100" w:type="dxa"/>
              <w:right w:w="120" w:type="dxa"/>
            </w:tcMar>
          </w:tcPr>
          <w:p w14:paraId="623DA09A" w14:textId="77777777" w:rsidR="00466A15" w:rsidRDefault="00000000">
            <w:pPr>
              <w:widowControl/>
              <w:pBdr>
                <w:top w:val="nil"/>
                <w:left w:val="nil"/>
                <w:bottom w:val="nil"/>
                <w:right w:val="nil"/>
                <w:between w:val="nil"/>
              </w:pBdr>
              <w:spacing w:after="80"/>
              <w:rPr>
                <w:color w:val="000000"/>
                <w:sz w:val="20"/>
                <w:szCs w:val="20"/>
              </w:rPr>
            </w:pPr>
            <w:r>
              <w:rPr>
                <w:color w:val="000000"/>
                <w:sz w:val="20"/>
                <w:szCs w:val="20"/>
              </w:rPr>
              <w:t>Amazon Prime Video</w:t>
            </w:r>
          </w:p>
        </w:tc>
        <w:tc>
          <w:tcPr>
            <w:tcW w:w="1781" w:type="dxa"/>
            <w:tcBorders>
              <w:top w:val="single" w:sz="4" w:space="0" w:color="E6E6E6"/>
              <w:left w:val="single" w:sz="4" w:space="0" w:color="E6E6E6"/>
              <w:bottom w:val="single" w:sz="4" w:space="0" w:color="E6E6E6"/>
              <w:right w:val="single" w:sz="4" w:space="0" w:color="E6E6E6"/>
            </w:tcBorders>
            <w:shd w:val="clear" w:color="auto" w:fill="FAFAFA"/>
            <w:tcMar>
              <w:top w:w="120" w:type="dxa"/>
              <w:left w:w="180" w:type="dxa"/>
              <w:bottom w:w="100" w:type="dxa"/>
              <w:right w:w="120" w:type="dxa"/>
            </w:tcMar>
          </w:tcPr>
          <w:p w14:paraId="71471EA4" w14:textId="77777777" w:rsidR="00466A15" w:rsidRDefault="00000000">
            <w:pPr>
              <w:widowControl/>
              <w:pBdr>
                <w:top w:val="nil"/>
                <w:left w:val="nil"/>
                <w:bottom w:val="nil"/>
                <w:right w:val="nil"/>
                <w:between w:val="nil"/>
              </w:pBdr>
              <w:spacing w:after="80"/>
              <w:rPr>
                <w:color w:val="000000"/>
                <w:sz w:val="20"/>
                <w:szCs w:val="20"/>
              </w:rPr>
            </w:pPr>
            <w:r>
              <w:rPr>
                <w:color w:val="000000"/>
                <w:sz w:val="20"/>
                <w:szCs w:val="20"/>
              </w:rPr>
              <w:t>155.700</w:t>
            </w:r>
          </w:p>
        </w:tc>
        <w:tc>
          <w:tcPr>
            <w:tcW w:w="1681" w:type="dxa"/>
            <w:tcBorders>
              <w:top w:val="single" w:sz="4" w:space="0" w:color="E6E6E6"/>
              <w:left w:val="single" w:sz="4" w:space="0" w:color="E6E6E6"/>
              <w:bottom w:val="single" w:sz="4" w:space="0" w:color="E6E6E6"/>
              <w:right w:val="single" w:sz="4" w:space="0" w:color="E6E6E6"/>
            </w:tcBorders>
            <w:shd w:val="clear" w:color="auto" w:fill="FAFAFA"/>
            <w:tcMar>
              <w:top w:w="120" w:type="dxa"/>
              <w:left w:w="180" w:type="dxa"/>
              <w:bottom w:w="100" w:type="dxa"/>
              <w:right w:w="120" w:type="dxa"/>
            </w:tcMar>
          </w:tcPr>
          <w:p w14:paraId="506F6C98" w14:textId="77777777" w:rsidR="00466A15" w:rsidRDefault="00000000">
            <w:pPr>
              <w:widowControl/>
              <w:pBdr>
                <w:top w:val="nil"/>
                <w:left w:val="nil"/>
                <w:bottom w:val="nil"/>
                <w:right w:val="nil"/>
                <w:between w:val="nil"/>
              </w:pBdr>
              <w:spacing w:after="80"/>
              <w:rPr>
                <w:color w:val="000000"/>
                <w:sz w:val="20"/>
                <w:szCs w:val="20"/>
              </w:rPr>
            </w:pPr>
            <w:r>
              <w:rPr>
                <w:color w:val="000000"/>
                <w:sz w:val="20"/>
                <w:szCs w:val="20"/>
              </w:rPr>
              <w:t>4.500*</w:t>
            </w:r>
          </w:p>
        </w:tc>
        <w:tc>
          <w:tcPr>
            <w:tcW w:w="1450" w:type="dxa"/>
            <w:tcBorders>
              <w:top w:val="single" w:sz="4" w:space="0" w:color="E6E6E6"/>
              <w:left w:val="single" w:sz="4" w:space="0" w:color="E6E6E6"/>
              <w:bottom w:val="single" w:sz="4" w:space="0" w:color="E6E6E6"/>
              <w:right w:val="single" w:sz="4" w:space="0" w:color="E6E6E6"/>
            </w:tcBorders>
            <w:shd w:val="clear" w:color="auto" w:fill="FAFAFA"/>
            <w:tcMar>
              <w:top w:w="120" w:type="dxa"/>
              <w:left w:w="180" w:type="dxa"/>
              <w:bottom w:w="100" w:type="dxa"/>
              <w:right w:w="120" w:type="dxa"/>
            </w:tcMar>
          </w:tcPr>
          <w:p w14:paraId="5DA5D62A" w14:textId="77777777" w:rsidR="00466A15" w:rsidRDefault="00000000">
            <w:pPr>
              <w:widowControl/>
              <w:pBdr>
                <w:top w:val="nil"/>
                <w:left w:val="nil"/>
                <w:bottom w:val="nil"/>
                <w:right w:val="nil"/>
                <w:between w:val="nil"/>
              </w:pBdr>
              <w:spacing w:after="80"/>
              <w:rPr>
                <w:color w:val="000000"/>
                <w:sz w:val="20"/>
                <w:szCs w:val="20"/>
              </w:rPr>
            </w:pPr>
            <w:r>
              <w:rPr>
                <w:color w:val="000000"/>
                <w:sz w:val="20"/>
                <w:szCs w:val="20"/>
              </w:rPr>
              <w:t>10,14%</w:t>
            </w:r>
          </w:p>
        </w:tc>
        <w:tc>
          <w:tcPr>
            <w:tcW w:w="1439" w:type="dxa"/>
            <w:tcBorders>
              <w:top w:val="single" w:sz="4" w:space="0" w:color="E6E6E6"/>
              <w:left w:val="single" w:sz="4" w:space="0" w:color="E6E6E6"/>
              <w:bottom w:val="single" w:sz="4" w:space="0" w:color="E6E6E6"/>
              <w:right w:val="single" w:sz="4" w:space="0" w:color="E6E6E6"/>
            </w:tcBorders>
            <w:shd w:val="clear" w:color="auto" w:fill="FAFAFA"/>
            <w:tcMar>
              <w:top w:w="120" w:type="dxa"/>
              <w:left w:w="180" w:type="dxa"/>
              <w:bottom w:w="100" w:type="dxa"/>
              <w:right w:w="120" w:type="dxa"/>
            </w:tcMar>
          </w:tcPr>
          <w:p w14:paraId="3E15E605" w14:textId="77777777" w:rsidR="00466A15" w:rsidRDefault="00000000">
            <w:pPr>
              <w:widowControl/>
              <w:pBdr>
                <w:top w:val="nil"/>
                <w:left w:val="nil"/>
                <w:bottom w:val="nil"/>
                <w:right w:val="nil"/>
                <w:between w:val="nil"/>
              </w:pBdr>
              <w:spacing w:after="80"/>
              <w:rPr>
                <w:color w:val="000000"/>
                <w:sz w:val="20"/>
                <w:szCs w:val="20"/>
              </w:rPr>
            </w:pPr>
            <w:r>
              <w:rPr>
                <w:color w:val="000000"/>
                <w:sz w:val="20"/>
                <w:szCs w:val="20"/>
              </w:rPr>
              <w:t>275</w:t>
            </w:r>
          </w:p>
        </w:tc>
      </w:tr>
      <w:tr w:rsidR="00466A15" w14:paraId="352814D5" w14:textId="77777777">
        <w:trPr>
          <w:trHeight w:val="540"/>
        </w:trPr>
        <w:tc>
          <w:tcPr>
            <w:tcW w:w="1239" w:type="dxa"/>
            <w:tcBorders>
              <w:top w:val="single" w:sz="4" w:space="0" w:color="E6E6E6"/>
              <w:left w:val="single" w:sz="4" w:space="0" w:color="E6E6E6"/>
              <w:bottom w:val="single" w:sz="4" w:space="0" w:color="E6E6E6"/>
              <w:right w:val="single" w:sz="4" w:space="0" w:color="E6E6E6"/>
            </w:tcBorders>
            <w:shd w:val="clear" w:color="auto" w:fill="FAFAFA"/>
            <w:tcMar>
              <w:top w:w="120" w:type="dxa"/>
              <w:left w:w="180" w:type="dxa"/>
              <w:bottom w:w="100" w:type="dxa"/>
              <w:right w:w="120" w:type="dxa"/>
            </w:tcMar>
          </w:tcPr>
          <w:p w14:paraId="770E723C" w14:textId="77777777" w:rsidR="00466A15" w:rsidRDefault="00000000">
            <w:pPr>
              <w:widowControl/>
              <w:pBdr>
                <w:top w:val="nil"/>
                <w:left w:val="nil"/>
                <w:bottom w:val="nil"/>
                <w:right w:val="nil"/>
                <w:between w:val="nil"/>
              </w:pBdr>
              <w:spacing w:after="80"/>
              <w:rPr>
                <w:color w:val="000000"/>
                <w:sz w:val="20"/>
                <w:szCs w:val="20"/>
              </w:rPr>
            </w:pPr>
            <w:r>
              <w:rPr>
                <w:color w:val="000000"/>
                <w:sz w:val="20"/>
                <w:szCs w:val="20"/>
              </w:rPr>
              <w:t>Disney +</w:t>
            </w:r>
          </w:p>
        </w:tc>
        <w:tc>
          <w:tcPr>
            <w:tcW w:w="1781" w:type="dxa"/>
            <w:tcBorders>
              <w:top w:val="single" w:sz="4" w:space="0" w:color="E6E6E6"/>
              <w:left w:val="single" w:sz="4" w:space="0" w:color="E6E6E6"/>
              <w:bottom w:val="single" w:sz="4" w:space="0" w:color="E6E6E6"/>
              <w:right w:val="single" w:sz="4" w:space="0" w:color="E6E6E6"/>
            </w:tcBorders>
            <w:shd w:val="clear" w:color="auto" w:fill="FAFAFA"/>
            <w:tcMar>
              <w:top w:w="120" w:type="dxa"/>
              <w:left w:w="180" w:type="dxa"/>
              <w:bottom w:w="100" w:type="dxa"/>
              <w:right w:w="120" w:type="dxa"/>
            </w:tcMar>
          </w:tcPr>
          <w:p w14:paraId="00416B00" w14:textId="77777777" w:rsidR="00466A15" w:rsidRDefault="00000000">
            <w:pPr>
              <w:widowControl/>
              <w:pBdr>
                <w:top w:val="nil"/>
                <w:left w:val="nil"/>
                <w:bottom w:val="nil"/>
                <w:right w:val="nil"/>
                <w:between w:val="nil"/>
              </w:pBdr>
              <w:spacing w:after="80"/>
              <w:rPr>
                <w:color w:val="000000"/>
                <w:sz w:val="20"/>
                <w:szCs w:val="20"/>
              </w:rPr>
            </w:pPr>
            <w:r>
              <w:rPr>
                <w:color w:val="000000"/>
                <w:sz w:val="20"/>
                <w:szCs w:val="20"/>
              </w:rPr>
              <w:t>23.600</w:t>
            </w:r>
          </w:p>
        </w:tc>
        <w:tc>
          <w:tcPr>
            <w:tcW w:w="1681" w:type="dxa"/>
            <w:tcBorders>
              <w:top w:val="single" w:sz="4" w:space="0" w:color="E6E6E6"/>
              <w:left w:val="single" w:sz="4" w:space="0" w:color="E6E6E6"/>
              <w:bottom w:val="single" w:sz="4" w:space="0" w:color="E6E6E6"/>
              <w:right w:val="single" w:sz="4" w:space="0" w:color="E6E6E6"/>
            </w:tcBorders>
            <w:shd w:val="clear" w:color="auto" w:fill="FAFAFA"/>
            <w:tcMar>
              <w:top w:w="120" w:type="dxa"/>
              <w:left w:w="180" w:type="dxa"/>
              <w:bottom w:w="100" w:type="dxa"/>
              <w:right w:w="120" w:type="dxa"/>
            </w:tcMar>
          </w:tcPr>
          <w:p w14:paraId="68B29492" w14:textId="77777777" w:rsidR="00466A15" w:rsidRDefault="00000000">
            <w:pPr>
              <w:widowControl/>
              <w:pBdr>
                <w:top w:val="nil"/>
                <w:left w:val="nil"/>
                <w:bottom w:val="nil"/>
                <w:right w:val="nil"/>
                <w:between w:val="nil"/>
              </w:pBdr>
              <w:spacing w:after="80"/>
              <w:rPr>
                <w:color w:val="000000"/>
                <w:sz w:val="20"/>
                <w:szCs w:val="20"/>
              </w:rPr>
            </w:pPr>
            <w:r>
              <w:rPr>
                <w:color w:val="000000"/>
                <w:sz w:val="20"/>
                <w:szCs w:val="20"/>
              </w:rPr>
              <w:t>1.500**</w:t>
            </w:r>
          </w:p>
        </w:tc>
        <w:tc>
          <w:tcPr>
            <w:tcW w:w="1450" w:type="dxa"/>
            <w:tcBorders>
              <w:top w:val="single" w:sz="4" w:space="0" w:color="E6E6E6"/>
              <w:left w:val="single" w:sz="4" w:space="0" w:color="E6E6E6"/>
              <w:bottom w:val="single" w:sz="4" w:space="0" w:color="E6E6E6"/>
              <w:right w:val="single" w:sz="4" w:space="0" w:color="E6E6E6"/>
            </w:tcBorders>
            <w:shd w:val="clear" w:color="auto" w:fill="FAFAFA"/>
            <w:tcMar>
              <w:top w:w="120" w:type="dxa"/>
              <w:left w:w="180" w:type="dxa"/>
              <w:bottom w:w="100" w:type="dxa"/>
              <w:right w:w="120" w:type="dxa"/>
            </w:tcMar>
          </w:tcPr>
          <w:p w14:paraId="25FAA060" w14:textId="77777777" w:rsidR="00466A15" w:rsidRDefault="00000000">
            <w:pPr>
              <w:widowControl/>
              <w:pBdr>
                <w:top w:val="nil"/>
                <w:left w:val="nil"/>
                <w:bottom w:val="nil"/>
                <w:right w:val="nil"/>
                <w:between w:val="nil"/>
              </w:pBdr>
              <w:spacing w:after="80"/>
              <w:rPr>
                <w:color w:val="000000"/>
                <w:sz w:val="20"/>
                <w:szCs w:val="20"/>
              </w:rPr>
            </w:pPr>
            <w:r>
              <w:rPr>
                <w:color w:val="000000"/>
                <w:sz w:val="20"/>
                <w:szCs w:val="20"/>
              </w:rPr>
              <w:t>14,42%.</w:t>
            </w:r>
          </w:p>
        </w:tc>
        <w:tc>
          <w:tcPr>
            <w:tcW w:w="1439" w:type="dxa"/>
            <w:tcBorders>
              <w:top w:val="single" w:sz="4" w:space="0" w:color="E6E6E6"/>
              <w:left w:val="single" w:sz="4" w:space="0" w:color="E6E6E6"/>
              <w:bottom w:val="single" w:sz="4" w:space="0" w:color="E6E6E6"/>
              <w:right w:val="single" w:sz="4" w:space="0" w:color="E6E6E6"/>
            </w:tcBorders>
            <w:shd w:val="clear" w:color="auto" w:fill="FAFAFA"/>
            <w:tcMar>
              <w:top w:w="120" w:type="dxa"/>
              <w:left w:w="180" w:type="dxa"/>
              <w:bottom w:w="100" w:type="dxa"/>
              <w:right w:w="120" w:type="dxa"/>
            </w:tcMar>
          </w:tcPr>
          <w:p w14:paraId="1AE743FE" w14:textId="77777777" w:rsidR="00466A15" w:rsidRDefault="00000000">
            <w:pPr>
              <w:widowControl/>
              <w:pBdr>
                <w:top w:val="nil"/>
                <w:left w:val="nil"/>
                <w:bottom w:val="nil"/>
                <w:right w:val="nil"/>
                <w:between w:val="nil"/>
              </w:pBdr>
              <w:spacing w:after="80"/>
              <w:rPr>
                <w:color w:val="000000"/>
                <w:sz w:val="20"/>
                <w:szCs w:val="20"/>
              </w:rPr>
            </w:pPr>
            <w:r>
              <w:rPr>
                <w:color w:val="000000"/>
                <w:sz w:val="20"/>
                <w:szCs w:val="20"/>
              </w:rPr>
              <w:t>126</w:t>
            </w:r>
          </w:p>
        </w:tc>
      </w:tr>
      <w:tr w:rsidR="00466A15" w14:paraId="5CD258CB" w14:textId="77777777">
        <w:trPr>
          <w:trHeight w:val="540"/>
        </w:trPr>
        <w:tc>
          <w:tcPr>
            <w:tcW w:w="1239" w:type="dxa"/>
            <w:tcBorders>
              <w:top w:val="single" w:sz="4" w:space="0" w:color="E6E6E6"/>
              <w:left w:val="single" w:sz="4" w:space="0" w:color="E6E6E6"/>
              <w:bottom w:val="single" w:sz="4" w:space="0" w:color="E6E6E6"/>
              <w:right w:val="single" w:sz="4" w:space="0" w:color="E6E6E6"/>
            </w:tcBorders>
            <w:shd w:val="clear" w:color="auto" w:fill="FAFAFA"/>
            <w:tcMar>
              <w:top w:w="120" w:type="dxa"/>
              <w:left w:w="180" w:type="dxa"/>
              <w:bottom w:w="100" w:type="dxa"/>
              <w:right w:w="120" w:type="dxa"/>
            </w:tcMar>
          </w:tcPr>
          <w:p w14:paraId="5DB3F3A3" w14:textId="77777777" w:rsidR="00466A15" w:rsidRDefault="00000000">
            <w:pPr>
              <w:widowControl/>
              <w:pBdr>
                <w:top w:val="nil"/>
                <w:left w:val="nil"/>
                <w:bottom w:val="nil"/>
                <w:right w:val="nil"/>
                <w:between w:val="nil"/>
              </w:pBdr>
              <w:spacing w:after="80"/>
              <w:rPr>
                <w:color w:val="000000"/>
                <w:sz w:val="20"/>
                <w:szCs w:val="20"/>
              </w:rPr>
            </w:pPr>
            <w:r>
              <w:rPr>
                <w:color w:val="000000"/>
                <w:sz w:val="20"/>
                <w:szCs w:val="20"/>
              </w:rPr>
              <w:t>HBO Max</w:t>
            </w:r>
          </w:p>
        </w:tc>
        <w:tc>
          <w:tcPr>
            <w:tcW w:w="1781" w:type="dxa"/>
            <w:tcBorders>
              <w:top w:val="single" w:sz="4" w:space="0" w:color="E6E6E6"/>
              <w:left w:val="single" w:sz="4" w:space="0" w:color="E6E6E6"/>
              <w:bottom w:val="single" w:sz="4" w:space="0" w:color="E6E6E6"/>
              <w:right w:val="single" w:sz="4" w:space="0" w:color="E6E6E6"/>
            </w:tcBorders>
            <w:shd w:val="clear" w:color="auto" w:fill="FAFAFA"/>
            <w:tcMar>
              <w:top w:w="120" w:type="dxa"/>
              <w:left w:w="180" w:type="dxa"/>
              <w:bottom w:w="100" w:type="dxa"/>
              <w:right w:w="120" w:type="dxa"/>
            </w:tcMar>
          </w:tcPr>
          <w:p w14:paraId="5B96A043" w14:textId="77777777" w:rsidR="00466A15" w:rsidRDefault="00000000">
            <w:pPr>
              <w:widowControl/>
              <w:pBdr>
                <w:top w:val="nil"/>
                <w:left w:val="nil"/>
                <w:bottom w:val="nil"/>
                <w:right w:val="nil"/>
                <w:between w:val="nil"/>
              </w:pBdr>
              <w:spacing w:after="80"/>
              <w:rPr>
                <w:color w:val="000000"/>
                <w:sz w:val="20"/>
                <w:szCs w:val="20"/>
              </w:rPr>
            </w:pPr>
            <w:r>
              <w:rPr>
                <w:color w:val="000000"/>
                <w:sz w:val="20"/>
                <w:szCs w:val="20"/>
              </w:rPr>
              <w:t>9.000</w:t>
            </w:r>
          </w:p>
        </w:tc>
        <w:tc>
          <w:tcPr>
            <w:tcW w:w="1681" w:type="dxa"/>
            <w:tcBorders>
              <w:top w:val="single" w:sz="4" w:space="0" w:color="E6E6E6"/>
              <w:left w:val="single" w:sz="4" w:space="0" w:color="E6E6E6"/>
              <w:bottom w:val="single" w:sz="4" w:space="0" w:color="E6E6E6"/>
              <w:right w:val="single" w:sz="4" w:space="0" w:color="E6E6E6"/>
            </w:tcBorders>
            <w:shd w:val="clear" w:color="auto" w:fill="FAFAFA"/>
            <w:tcMar>
              <w:top w:w="120" w:type="dxa"/>
              <w:left w:w="180" w:type="dxa"/>
              <w:bottom w:w="100" w:type="dxa"/>
              <w:right w:w="120" w:type="dxa"/>
            </w:tcMar>
          </w:tcPr>
          <w:p w14:paraId="3C8F0155" w14:textId="77777777" w:rsidR="00466A15" w:rsidRDefault="00000000">
            <w:pPr>
              <w:widowControl/>
              <w:pBdr>
                <w:top w:val="nil"/>
                <w:left w:val="nil"/>
                <w:bottom w:val="nil"/>
                <w:right w:val="nil"/>
                <w:between w:val="nil"/>
              </w:pBdr>
              <w:spacing w:after="80"/>
              <w:rPr>
                <w:color w:val="000000"/>
                <w:sz w:val="20"/>
                <w:szCs w:val="20"/>
              </w:rPr>
            </w:pPr>
            <w:r>
              <w:rPr>
                <w:color w:val="000000"/>
                <w:sz w:val="20"/>
                <w:szCs w:val="20"/>
              </w:rPr>
              <w:t>3.150***</w:t>
            </w:r>
          </w:p>
        </w:tc>
        <w:tc>
          <w:tcPr>
            <w:tcW w:w="1450" w:type="dxa"/>
            <w:tcBorders>
              <w:top w:val="single" w:sz="4" w:space="0" w:color="E6E6E6"/>
              <w:left w:val="single" w:sz="4" w:space="0" w:color="E6E6E6"/>
              <w:bottom w:val="single" w:sz="4" w:space="0" w:color="E6E6E6"/>
              <w:right w:val="single" w:sz="4" w:space="0" w:color="E6E6E6"/>
            </w:tcBorders>
            <w:shd w:val="clear" w:color="auto" w:fill="FAFAFA"/>
            <w:tcMar>
              <w:top w:w="120" w:type="dxa"/>
              <w:left w:w="180" w:type="dxa"/>
              <w:bottom w:w="100" w:type="dxa"/>
              <w:right w:w="120" w:type="dxa"/>
            </w:tcMar>
          </w:tcPr>
          <w:p w14:paraId="5532EF4C" w14:textId="77777777" w:rsidR="00466A15" w:rsidRDefault="00000000">
            <w:pPr>
              <w:widowControl/>
              <w:pBdr>
                <w:top w:val="nil"/>
                <w:left w:val="nil"/>
                <w:bottom w:val="nil"/>
                <w:right w:val="nil"/>
                <w:between w:val="nil"/>
              </w:pBdr>
              <w:spacing w:after="80"/>
              <w:rPr>
                <w:color w:val="000000"/>
                <w:sz w:val="20"/>
                <w:szCs w:val="20"/>
              </w:rPr>
            </w:pPr>
            <w:r>
              <w:rPr>
                <w:color w:val="000000"/>
                <w:sz w:val="20"/>
                <w:szCs w:val="20"/>
              </w:rPr>
              <w:t>35%</w:t>
            </w:r>
          </w:p>
        </w:tc>
        <w:tc>
          <w:tcPr>
            <w:tcW w:w="1439" w:type="dxa"/>
            <w:tcBorders>
              <w:top w:val="single" w:sz="4" w:space="0" w:color="E6E6E6"/>
              <w:left w:val="single" w:sz="4" w:space="0" w:color="E6E6E6"/>
              <w:bottom w:val="single" w:sz="4" w:space="0" w:color="E6E6E6"/>
              <w:right w:val="single" w:sz="4" w:space="0" w:color="E6E6E6"/>
            </w:tcBorders>
            <w:shd w:val="clear" w:color="auto" w:fill="FAFAFA"/>
            <w:tcMar>
              <w:top w:w="120" w:type="dxa"/>
              <w:left w:w="180" w:type="dxa"/>
              <w:bottom w:w="100" w:type="dxa"/>
              <w:right w:w="120" w:type="dxa"/>
            </w:tcMar>
          </w:tcPr>
          <w:p w14:paraId="1E131326" w14:textId="77777777" w:rsidR="00466A15" w:rsidRDefault="00000000">
            <w:pPr>
              <w:widowControl/>
              <w:pBdr>
                <w:top w:val="nil"/>
                <w:left w:val="nil"/>
                <w:bottom w:val="nil"/>
                <w:right w:val="nil"/>
                <w:between w:val="nil"/>
              </w:pBdr>
              <w:spacing w:after="80"/>
              <w:rPr>
                <w:color w:val="000000"/>
                <w:sz w:val="20"/>
                <w:szCs w:val="20"/>
              </w:rPr>
            </w:pPr>
            <w:r>
              <w:rPr>
                <w:color w:val="000000"/>
                <w:sz w:val="20"/>
                <w:szCs w:val="20"/>
              </w:rPr>
              <w:t>122,3</w:t>
            </w:r>
          </w:p>
        </w:tc>
      </w:tr>
    </w:tbl>
    <w:p w14:paraId="0CA5423C" w14:textId="77777777" w:rsidR="00466A15" w:rsidRPr="00F915A7" w:rsidRDefault="00000000">
      <w:pPr>
        <w:widowControl/>
        <w:pBdr>
          <w:top w:val="nil"/>
          <w:left w:val="nil"/>
          <w:bottom w:val="nil"/>
          <w:right w:val="nil"/>
          <w:between w:val="nil"/>
        </w:pBdr>
        <w:spacing w:after="80"/>
        <w:jc w:val="center"/>
        <w:rPr>
          <w:color w:val="000000"/>
          <w:sz w:val="20"/>
          <w:szCs w:val="20"/>
          <w:lang w:val="en-GB"/>
        </w:rPr>
      </w:pPr>
      <w:r w:rsidRPr="00F915A7">
        <w:rPr>
          <w:color w:val="000000"/>
          <w:sz w:val="20"/>
          <w:szCs w:val="20"/>
          <w:lang w:val="en-GB"/>
        </w:rPr>
        <w:t>Source: Own elaboration based on data from Singh (2025) and Dey (2025)</w:t>
      </w:r>
    </w:p>
    <w:p w14:paraId="3AEAAD25" w14:textId="77777777" w:rsidR="00466A15" w:rsidRPr="00F915A7" w:rsidRDefault="00000000">
      <w:pPr>
        <w:widowControl/>
        <w:pBdr>
          <w:top w:val="nil"/>
          <w:left w:val="nil"/>
          <w:bottom w:val="nil"/>
          <w:right w:val="nil"/>
          <w:between w:val="nil"/>
        </w:pBdr>
        <w:spacing w:after="80"/>
        <w:ind w:left="283"/>
        <w:rPr>
          <w:color w:val="000000"/>
          <w:sz w:val="20"/>
          <w:szCs w:val="20"/>
          <w:lang w:val="en-GB"/>
        </w:rPr>
      </w:pPr>
      <w:r w:rsidRPr="00F915A7">
        <w:rPr>
          <w:color w:val="000000"/>
          <w:sz w:val="20"/>
          <w:szCs w:val="20"/>
          <w:lang w:val="en-GB"/>
        </w:rPr>
        <w:t>* Estimated based on the U.S. streaming market, where Prime Video holds a 22% share.</w:t>
      </w:r>
    </w:p>
    <w:p w14:paraId="58014ADE" w14:textId="77777777" w:rsidR="00466A15" w:rsidRPr="00F915A7" w:rsidRDefault="00000000">
      <w:pPr>
        <w:widowControl/>
        <w:pBdr>
          <w:top w:val="nil"/>
          <w:left w:val="nil"/>
          <w:bottom w:val="nil"/>
          <w:right w:val="nil"/>
          <w:between w:val="nil"/>
        </w:pBdr>
        <w:spacing w:after="80"/>
        <w:ind w:left="283"/>
        <w:rPr>
          <w:color w:val="000000"/>
          <w:sz w:val="20"/>
          <w:szCs w:val="20"/>
          <w:lang w:val="en-GB"/>
        </w:rPr>
      </w:pPr>
      <w:r w:rsidRPr="00F915A7">
        <w:rPr>
          <w:color w:val="000000"/>
          <w:sz w:val="20"/>
          <w:szCs w:val="20"/>
          <w:lang w:val="en-GB"/>
        </w:rPr>
        <w:t>** Estimated for the U.S. alone; $1.2 billion is expected in 2025.</w:t>
      </w:r>
    </w:p>
    <w:p w14:paraId="44A20C1A" w14:textId="77777777" w:rsidR="00466A15" w:rsidRPr="00F915A7" w:rsidRDefault="00000000">
      <w:pPr>
        <w:widowControl/>
        <w:pBdr>
          <w:top w:val="nil"/>
          <w:left w:val="nil"/>
          <w:bottom w:val="nil"/>
          <w:right w:val="nil"/>
          <w:between w:val="nil"/>
        </w:pBdr>
        <w:spacing w:after="80"/>
        <w:ind w:left="283"/>
        <w:rPr>
          <w:color w:val="000000"/>
          <w:sz w:val="20"/>
          <w:szCs w:val="20"/>
          <w:lang w:val="en-GB"/>
        </w:rPr>
      </w:pPr>
      <w:r w:rsidRPr="00F915A7">
        <w:rPr>
          <w:color w:val="000000"/>
          <w:sz w:val="20"/>
          <w:szCs w:val="20"/>
          <w:lang w:val="en-GB"/>
        </w:rPr>
        <w:t>*** Estimated according to the percentage of ad-supported subscribers.</w:t>
      </w:r>
    </w:p>
    <w:p w14:paraId="17B7190A" w14:textId="77777777" w:rsidR="00466A15" w:rsidRPr="00F915A7" w:rsidRDefault="00466A15">
      <w:pPr>
        <w:widowControl/>
        <w:pBdr>
          <w:top w:val="nil"/>
          <w:left w:val="nil"/>
          <w:bottom w:val="nil"/>
          <w:right w:val="nil"/>
          <w:between w:val="nil"/>
        </w:pBdr>
        <w:spacing w:after="80"/>
        <w:ind w:left="283"/>
        <w:rPr>
          <w:color w:val="000000"/>
          <w:sz w:val="20"/>
          <w:szCs w:val="20"/>
          <w:lang w:val="en-GB"/>
        </w:rPr>
      </w:pPr>
    </w:p>
    <w:p w14:paraId="66485512" w14:textId="77777777" w:rsidR="00466A15" w:rsidRPr="00F915A7" w:rsidRDefault="00000000">
      <w:pPr>
        <w:widowControl/>
        <w:pBdr>
          <w:top w:val="nil"/>
          <w:left w:val="nil"/>
          <w:bottom w:val="nil"/>
          <w:right w:val="nil"/>
          <w:between w:val="nil"/>
        </w:pBdr>
        <w:spacing w:after="80"/>
        <w:ind w:left="283"/>
        <w:jc w:val="both"/>
        <w:rPr>
          <w:color w:val="000000"/>
          <w:sz w:val="24"/>
          <w:szCs w:val="24"/>
          <w:lang w:val="en-GB"/>
        </w:rPr>
      </w:pPr>
      <w:r w:rsidRPr="00F915A7">
        <w:rPr>
          <w:color w:val="000000"/>
          <w:sz w:val="24"/>
          <w:szCs w:val="24"/>
          <w:lang w:val="en-GB"/>
        </w:rPr>
        <w:t>The "total revenue (parent company)" indicator is used as a benchmark for corporate scale and the public availability of financial information. In the case of Netflix, the figure corresponds to a company whose primary business is streaming. For Amazon, Disney, and Warner Bros. Discovery, the data reflects the performance of the entire conglomerate; therefore, it should not be interpreted as revenue attributable exclusively to Prime Video, Disney+, or HBO Max. Consequently, the analytical comparison focuses on ad-model adoption, pricing strategy, and public signals of ad monetization, avoiding direct inferences between "total revenue" and the specific performance of each individual platform.</w:t>
      </w:r>
    </w:p>
    <w:p w14:paraId="7FF47577" w14:textId="77777777" w:rsidR="00466A15" w:rsidRPr="00F915A7" w:rsidRDefault="00466A15">
      <w:pPr>
        <w:widowControl/>
        <w:pBdr>
          <w:top w:val="nil"/>
          <w:left w:val="nil"/>
          <w:bottom w:val="nil"/>
          <w:right w:val="nil"/>
          <w:between w:val="nil"/>
        </w:pBdr>
        <w:spacing w:after="80"/>
        <w:ind w:left="283"/>
        <w:jc w:val="both"/>
        <w:rPr>
          <w:color w:val="000000"/>
          <w:sz w:val="24"/>
          <w:szCs w:val="24"/>
          <w:lang w:val="en-GB"/>
        </w:rPr>
      </w:pPr>
    </w:p>
    <w:p w14:paraId="604B65F1" w14:textId="77777777" w:rsidR="00466A15" w:rsidRPr="00F915A7" w:rsidRDefault="00000000">
      <w:pPr>
        <w:pStyle w:val="Ttulo2"/>
        <w:widowControl/>
        <w:ind w:left="283"/>
        <w:rPr>
          <w:lang w:val="en-GB"/>
        </w:rPr>
      </w:pPr>
      <w:bookmarkStart w:id="4" w:name="_heading=h.9sfakbbsrej" w:colFirst="0" w:colLast="0"/>
      <w:bookmarkEnd w:id="4"/>
      <w:r w:rsidRPr="00F915A7">
        <w:rPr>
          <w:lang w:val="en-GB"/>
        </w:rPr>
        <w:lastRenderedPageBreak/>
        <w:t>5. Conclusions</w:t>
      </w:r>
    </w:p>
    <w:p w14:paraId="4792B760" w14:textId="77777777" w:rsidR="00466A15" w:rsidRPr="00F915A7" w:rsidRDefault="00000000">
      <w:pPr>
        <w:widowControl/>
        <w:pBdr>
          <w:top w:val="nil"/>
          <w:left w:val="nil"/>
          <w:bottom w:val="nil"/>
          <w:right w:val="nil"/>
          <w:between w:val="nil"/>
        </w:pBdr>
        <w:spacing w:after="80"/>
        <w:ind w:left="283"/>
        <w:jc w:val="both"/>
        <w:rPr>
          <w:color w:val="000000"/>
          <w:sz w:val="24"/>
          <w:szCs w:val="24"/>
          <w:lang w:val="en-GB"/>
        </w:rPr>
      </w:pPr>
      <w:r w:rsidRPr="00F915A7">
        <w:rPr>
          <w:color w:val="000000"/>
          <w:sz w:val="24"/>
          <w:szCs w:val="24"/>
          <w:lang w:val="en-GB"/>
        </w:rPr>
        <w:t>The results confirm that the business model of streaming platforms is undergoing a structural transformation toward hybrid systems (HVOD). Advertising has ceased to be a secondary option and has become a strategic pillar of monetization.</w:t>
      </w:r>
    </w:p>
    <w:p w14:paraId="6291BC22" w14:textId="77777777" w:rsidR="00466A15" w:rsidRPr="00F915A7" w:rsidRDefault="00466A15">
      <w:pPr>
        <w:widowControl/>
        <w:pBdr>
          <w:top w:val="nil"/>
          <w:left w:val="nil"/>
          <w:bottom w:val="nil"/>
          <w:right w:val="nil"/>
          <w:between w:val="nil"/>
        </w:pBdr>
        <w:spacing w:after="80"/>
        <w:ind w:left="283"/>
        <w:jc w:val="both"/>
        <w:rPr>
          <w:color w:val="000000"/>
          <w:sz w:val="24"/>
          <w:szCs w:val="24"/>
          <w:lang w:val="en-GB"/>
        </w:rPr>
      </w:pPr>
    </w:p>
    <w:p w14:paraId="0BEB5187" w14:textId="77777777" w:rsidR="00466A15" w:rsidRPr="00F915A7" w:rsidRDefault="00000000">
      <w:pPr>
        <w:widowControl/>
        <w:pBdr>
          <w:top w:val="nil"/>
          <w:left w:val="nil"/>
          <w:bottom w:val="nil"/>
          <w:right w:val="nil"/>
          <w:between w:val="nil"/>
        </w:pBdr>
        <w:spacing w:after="80"/>
        <w:ind w:left="283"/>
        <w:jc w:val="both"/>
        <w:rPr>
          <w:color w:val="000000"/>
          <w:sz w:val="24"/>
          <w:szCs w:val="24"/>
          <w:lang w:val="en-GB"/>
        </w:rPr>
      </w:pPr>
      <w:r w:rsidRPr="00F915A7">
        <w:rPr>
          <w:color w:val="000000"/>
          <w:sz w:val="24"/>
          <w:szCs w:val="24"/>
          <w:lang w:val="en-GB"/>
        </w:rPr>
        <w:t>Unlike the initial pure SVOD model, which prioritized exponential subscriber growth, current platforms (led by Netflix, Disney+, Prime Video, and HBO Max) now seek profitability per user through revenue diversification. This transition is driven by the saturation of Western markets, rising production costs, and so-called "subscription fatigue."</w:t>
      </w:r>
    </w:p>
    <w:p w14:paraId="5DA34E1B" w14:textId="77777777" w:rsidR="00466A15" w:rsidRPr="00F915A7" w:rsidRDefault="00466A15">
      <w:pPr>
        <w:widowControl/>
        <w:pBdr>
          <w:top w:val="nil"/>
          <w:left w:val="nil"/>
          <w:bottom w:val="nil"/>
          <w:right w:val="nil"/>
          <w:between w:val="nil"/>
        </w:pBdr>
        <w:spacing w:after="80"/>
        <w:ind w:left="283"/>
        <w:jc w:val="both"/>
        <w:rPr>
          <w:color w:val="000000"/>
          <w:sz w:val="24"/>
          <w:szCs w:val="24"/>
          <w:lang w:val="en-GB"/>
        </w:rPr>
      </w:pPr>
    </w:p>
    <w:p w14:paraId="5CF84623" w14:textId="77777777" w:rsidR="00466A15" w:rsidRPr="00F915A7" w:rsidRDefault="00000000">
      <w:pPr>
        <w:widowControl/>
        <w:pBdr>
          <w:top w:val="nil"/>
          <w:left w:val="nil"/>
          <w:bottom w:val="nil"/>
          <w:right w:val="nil"/>
          <w:between w:val="nil"/>
        </w:pBdr>
        <w:spacing w:after="80"/>
        <w:ind w:left="283"/>
        <w:jc w:val="both"/>
        <w:rPr>
          <w:color w:val="000000"/>
          <w:sz w:val="24"/>
          <w:szCs w:val="24"/>
          <w:lang w:val="en-GB"/>
        </w:rPr>
      </w:pPr>
      <w:r w:rsidRPr="00F915A7">
        <w:rPr>
          <w:color w:val="000000"/>
          <w:sz w:val="24"/>
          <w:szCs w:val="24"/>
          <w:lang w:val="en-GB"/>
        </w:rPr>
        <w:t>The adoption of ad-supported plans allows companies to capture price-sensitive user segments, reducing the churn rate and opening a recurring, scalable revenue stream through the sale of advertising inventory. However, the long-term success of these models will depend on the platforms' ability to balance ad load with user experience, ensuring that advertising intrusion does not diminish the perceived value of the service.</w:t>
      </w:r>
    </w:p>
    <w:p w14:paraId="3BA78EDF" w14:textId="77777777" w:rsidR="00466A15" w:rsidRPr="00F915A7" w:rsidRDefault="00466A15">
      <w:pPr>
        <w:widowControl/>
        <w:pBdr>
          <w:top w:val="nil"/>
          <w:left w:val="nil"/>
          <w:bottom w:val="nil"/>
          <w:right w:val="nil"/>
          <w:between w:val="nil"/>
        </w:pBdr>
        <w:spacing w:after="80"/>
        <w:ind w:left="283"/>
        <w:jc w:val="both"/>
        <w:rPr>
          <w:color w:val="000000"/>
          <w:sz w:val="24"/>
          <w:szCs w:val="24"/>
          <w:lang w:val="en-GB"/>
        </w:rPr>
      </w:pPr>
    </w:p>
    <w:p w14:paraId="2620D8E8" w14:textId="77777777" w:rsidR="00466A15" w:rsidRPr="00F915A7" w:rsidRDefault="00000000">
      <w:pPr>
        <w:widowControl/>
        <w:pBdr>
          <w:top w:val="nil"/>
          <w:left w:val="nil"/>
          <w:bottom w:val="nil"/>
          <w:right w:val="nil"/>
          <w:between w:val="nil"/>
        </w:pBdr>
        <w:spacing w:after="80"/>
        <w:ind w:left="283"/>
        <w:jc w:val="both"/>
        <w:rPr>
          <w:color w:val="000000"/>
          <w:sz w:val="24"/>
          <w:szCs w:val="24"/>
          <w:lang w:val="en-GB"/>
        </w:rPr>
      </w:pPr>
      <w:r w:rsidRPr="00F915A7">
        <w:rPr>
          <w:color w:val="000000"/>
          <w:sz w:val="24"/>
          <w:szCs w:val="24"/>
          <w:lang w:val="en-GB"/>
        </w:rPr>
        <w:t>Ultimately, the convergence between streaming and traditional television in advertising terms suggests that the future of the sector will not be exclusively pay-per-view. Instead, it will be based on an ecosystem of tiered pricing tailored to the tolerance and willingness to pay of each consumer profile.</w:t>
      </w:r>
    </w:p>
    <w:p w14:paraId="552DF23B" w14:textId="77777777" w:rsidR="00466A15" w:rsidRPr="00F915A7" w:rsidRDefault="00466A15">
      <w:pPr>
        <w:widowControl/>
        <w:pBdr>
          <w:top w:val="nil"/>
          <w:left w:val="nil"/>
          <w:bottom w:val="nil"/>
          <w:right w:val="nil"/>
          <w:between w:val="nil"/>
        </w:pBdr>
        <w:spacing w:after="80"/>
        <w:ind w:left="283"/>
        <w:jc w:val="both"/>
        <w:rPr>
          <w:color w:val="000000"/>
          <w:sz w:val="24"/>
          <w:szCs w:val="24"/>
          <w:lang w:val="en-GB"/>
        </w:rPr>
      </w:pPr>
    </w:p>
    <w:p w14:paraId="5EB292E1" w14:textId="77777777" w:rsidR="00466A15" w:rsidRPr="00F915A7" w:rsidRDefault="00000000">
      <w:pPr>
        <w:widowControl/>
        <w:pBdr>
          <w:top w:val="nil"/>
          <w:left w:val="nil"/>
          <w:bottom w:val="nil"/>
          <w:right w:val="nil"/>
          <w:between w:val="nil"/>
        </w:pBdr>
        <w:spacing w:after="80"/>
        <w:ind w:left="283"/>
        <w:jc w:val="both"/>
        <w:rPr>
          <w:i/>
          <w:iCs/>
          <w:color w:val="9A0203"/>
          <w:sz w:val="24"/>
          <w:szCs w:val="24"/>
          <w:lang w:val="en-GB"/>
        </w:rPr>
      </w:pPr>
      <w:r w:rsidRPr="00F915A7">
        <w:rPr>
          <w:i/>
          <w:iCs/>
          <w:color w:val="9A0203"/>
          <w:sz w:val="24"/>
          <w:szCs w:val="24"/>
          <w:lang w:val="en-GB"/>
        </w:rPr>
        <w:t>5.1. Study Limitations</w:t>
      </w:r>
    </w:p>
    <w:p w14:paraId="03B9AC97" w14:textId="77777777" w:rsidR="00466A15" w:rsidRPr="00F915A7" w:rsidRDefault="00000000">
      <w:pPr>
        <w:widowControl/>
        <w:pBdr>
          <w:top w:val="nil"/>
          <w:left w:val="nil"/>
          <w:bottom w:val="nil"/>
          <w:right w:val="nil"/>
          <w:between w:val="nil"/>
        </w:pBdr>
        <w:spacing w:after="80"/>
        <w:ind w:left="283"/>
        <w:jc w:val="both"/>
        <w:rPr>
          <w:color w:val="000000"/>
          <w:sz w:val="24"/>
          <w:szCs w:val="24"/>
          <w:lang w:val="en-GB"/>
        </w:rPr>
      </w:pPr>
      <w:r w:rsidRPr="00F915A7">
        <w:rPr>
          <w:color w:val="000000"/>
          <w:sz w:val="24"/>
          <w:szCs w:val="24"/>
          <w:lang w:val="en-GB"/>
        </w:rPr>
        <w:t>The limitations of this study include its primary focus on leading platforms and the dependency on limited primary data. Secondary data from industry sources are used for contextualization purposes, prioritizing corporate documentation and peer-reviewed literature whenever possible to support analytical inferences. The streaming market is dynamic, meaning data and trends evolve rapidly month by month; it is not uncommon for customers to subscribe for a single month for specific content of interest and, once viewed, abandon the subscription on the platform where it was aired. This is leading platforms to behave like traditional television, offering one or a maximum of two episodes of a series (especially at its premiere) per season to retain customers in their portfolio for a longer period.</w:t>
      </w:r>
    </w:p>
    <w:p w14:paraId="051ED116" w14:textId="77777777" w:rsidR="00466A15" w:rsidRPr="00F915A7" w:rsidRDefault="00466A15">
      <w:pPr>
        <w:widowControl/>
        <w:pBdr>
          <w:top w:val="nil"/>
          <w:left w:val="nil"/>
          <w:bottom w:val="nil"/>
          <w:right w:val="nil"/>
          <w:between w:val="nil"/>
        </w:pBdr>
        <w:spacing w:after="80"/>
        <w:ind w:left="283"/>
        <w:jc w:val="both"/>
        <w:rPr>
          <w:color w:val="000000"/>
          <w:sz w:val="24"/>
          <w:szCs w:val="24"/>
          <w:lang w:val="en-GB"/>
        </w:rPr>
      </w:pPr>
    </w:p>
    <w:p w14:paraId="0A47DD43" w14:textId="77777777" w:rsidR="00466A15" w:rsidRPr="00F915A7" w:rsidRDefault="00000000">
      <w:pPr>
        <w:widowControl/>
        <w:pBdr>
          <w:top w:val="nil"/>
          <w:left w:val="nil"/>
          <w:bottom w:val="nil"/>
          <w:right w:val="nil"/>
          <w:between w:val="nil"/>
        </w:pBdr>
        <w:spacing w:after="80"/>
        <w:ind w:left="283"/>
        <w:jc w:val="both"/>
        <w:rPr>
          <w:color w:val="000000"/>
          <w:sz w:val="24"/>
          <w:szCs w:val="24"/>
          <w:lang w:val="en-GB"/>
        </w:rPr>
      </w:pPr>
      <w:r w:rsidRPr="00F915A7">
        <w:rPr>
          <w:color w:val="000000"/>
          <w:sz w:val="24"/>
          <w:szCs w:val="24"/>
          <w:lang w:val="en-GB"/>
        </w:rPr>
        <w:lastRenderedPageBreak/>
        <w:t xml:space="preserve">Although the analysis is limited to the period between 2022 and the first half of 2025, the acceleration of concentration movements and corporate restructuring in the streaming sector in 2025–2026 suggests that the transition from SVOD to AVOD/HVOD could be conditioned by dynamics of vertical integration, </w:t>
      </w:r>
      <w:proofErr w:type="spellStart"/>
      <w:r w:rsidRPr="00F915A7">
        <w:rPr>
          <w:color w:val="000000"/>
          <w:sz w:val="24"/>
          <w:szCs w:val="24"/>
          <w:lang w:val="en-GB"/>
        </w:rPr>
        <w:t>catalogs</w:t>
      </w:r>
      <w:proofErr w:type="spellEnd"/>
      <w:r w:rsidRPr="00F915A7">
        <w:rPr>
          <w:color w:val="000000"/>
          <w:sz w:val="24"/>
          <w:szCs w:val="24"/>
          <w:lang w:val="en-GB"/>
        </w:rPr>
        <w:t>, and advertising assets, opening a specific line of research (Netflix, Inc, 2026).</w:t>
      </w:r>
    </w:p>
    <w:p w14:paraId="02000386" w14:textId="77777777" w:rsidR="00466A15" w:rsidRPr="00F915A7" w:rsidRDefault="00466A15">
      <w:pPr>
        <w:widowControl/>
        <w:pBdr>
          <w:top w:val="nil"/>
          <w:left w:val="nil"/>
          <w:bottom w:val="nil"/>
          <w:right w:val="nil"/>
          <w:between w:val="nil"/>
        </w:pBdr>
        <w:spacing w:after="80"/>
        <w:ind w:left="283"/>
        <w:jc w:val="both"/>
        <w:rPr>
          <w:color w:val="000000"/>
          <w:sz w:val="24"/>
          <w:szCs w:val="24"/>
          <w:lang w:val="en-GB"/>
        </w:rPr>
      </w:pPr>
    </w:p>
    <w:p w14:paraId="5593D749" w14:textId="77777777" w:rsidR="00466A15" w:rsidRPr="00F915A7" w:rsidRDefault="00000000">
      <w:pPr>
        <w:widowControl/>
        <w:pBdr>
          <w:top w:val="nil"/>
          <w:left w:val="nil"/>
          <w:bottom w:val="nil"/>
          <w:right w:val="nil"/>
          <w:between w:val="nil"/>
        </w:pBdr>
        <w:spacing w:after="80"/>
        <w:ind w:left="283"/>
        <w:jc w:val="both"/>
        <w:rPr>
          <w:i/>
          <w:iCs/>
          <w:color w:val="9A0203"/>
          <w:sz w:val="24"/>
          <w:szCs w:val="24"/>
          <w:lang w:val="en-GB"/>
        </w:rPr>
      </w:pPr>
      <w:r w:rsidRPr="00F915A7">
        <w:rPr>
          <w:i/>
          <w:iCs/>
          <w:color w:val="9A0203"/>
          <w:sz w:val="24"/>
          <w:szCs w:val="24"/>
          <w:lang w:val="en-GB"/>
        </w:rPr>
        <w:t>5.2. Future Lines of Research</w:t>
      </w:r>
    </w:p>
    <w:p w14:paraId="23B700C9" w14:textId="77777777" w:rsidR="00466A15" w:rsidRPr="00F915A7" w:rsidRDefault="00000000">
      <w:pPr>
        <w:widowControl/>
        <w:pBdr>
          <w:top w:val="nil"/>
          <w:left w:val="nil"/>
          <w:bottom w:val="nil"/>
          <w:right w:val="nil"/>
          <w:between w:val="nil"/>
        </w:pBdr>
        <w:spacing w:after="80"/>
        <w:ind w:left="283"/>
        <w:jc w:val="both"/>
        <w:rPr>
          <w:color w:val="000000"/>
          <w:sz w:val="24"/>
          <w:szCs w:val="24"/>
          <w:lang w:val="en-GB"/>
        </w:rPr>
      </w:pPr>
      <w:r w:rsidRPr="00F915A7">
        <w:rPr>
          <w:color w:val="000000"/>
          <w:sz w:val="24"/>
          <w:szCs w:val="24"/>
          <w:lang w:val="en-GB"/>
        </w:rPr>
        <w:t>A natural extension of this work consists of incorporating subsequent longitudinal evidence beyond the 2022–first half of 2025 period to evaluate how the transition from SVOD to AVOD/HVOD evolves in Spain in terms of consumption and reach on Connected TV (CTV).</w:t>
      </w:r>
    </w:p>
    <w:p w14:paraId="3EA5F3C4" w14:textId="77777777" w:rsidR="00466A15" w:rsidRPr="00F915A7" w:rsidRDefault="00466A15">
      <w:pPr>
        <w:widowControl/>
        <w:pBdr>
          <w:top w:val="nil"/>
          <w:left w:val="nil"/>
          <w:bottom w:val="nil"/>
          <w:right w:val="nil"/>
          <w:between w:val="nil"/>
        </w:pBdr>
        <w:spacing w:after="80"/>
        <w:ind w:left="283"/>
        <w:jc w:val="both"/>
        <w:rPr>
          <w:color w:val="000000"/>
          <w:sz w:val="24"/>
          <w:szCs w:val="24"/>
          <w:lang w:val="en-GB"/>
        </w:rPr>
      </w:pPr>
    </w:p>
    <w:p w14:paraId="7F856A62" w14:textId="77777777" w:rsidR="00466A15" w:rsidRPr="00F915A7" w:rsidRDefault="00000000">
      <w:pPr>
        <w:widowControl/>
        <w:pBdr>
          <w:top w:val="nil"/>
          <w:left w:val="nil"/>
          <w:bottom w:val="nil"/>
          <w:right w:val="nil"/>
          <w:between w:val="nil"/>
        </w:pBdr>
        <w:spacing w:after="80"/>
        <w:ind w:left="283"/>
        <w:jc w:val="both"/>
        <w:rPr>
          <w:color w:val="000000"/>
          <w:sz w:val="24"/>
          <w:szCs w:val="24"/>
          <w:lang w:val="en-GB"/>
        </w:rPr>
      </w:pPr>
      <w:r w:rsidRPr="00F915A7">
        <w:rPr>
          <w:color w:val="000000"/>
          <w:sz w:val="24"/>
          <w:szCs w:val="24"/>
          <w:lang w:val="en-GB"/>
        </w:rPr>
        <w:t>Industry reports from late 2025 suggest (</w:t>
      </w:r>
      <w:proofErr w:type="spellStart"/>
      <w:r w:rsidRPr="00F915A7">
        <w:rPr>
          <w:color w:val="000000"/>
          <w:sz w:val="24"/>
          <w:szCs w:val="24"/>
          <w:lang w:val="en-GB"/>
        </w:rPr>
        <w:t>i</w:t>
      </w:r>
      <w:proofErr w:type="spellEnd"/>
      <w:r w:rsidRPr="00F915A7">
        <w:rPr>
          <w:color w:val="000000"/>
          <w:sz w:val="24"/>
          <w:szCs w:val="24"/>
          <w:lang w:val="en-GB"/>
        </w:rPr>
        <w:t xml:space="preserve">) differences in reach and time share on CTV, according to </w:t>
      </w:r>
      <w:proofErr w:type="spellStart"/>
      <w:r w:rsidRPr="00F915A7">
        <w:rPr>
          <w:color w:val="000000"/>
          <w:sz w:val="24"/>
          <w:szCs w:val="24"/>
          <w:lang w:val="en-GB"/>
        </w:rPr>
        <w:t>Barlovento</w:t>
      </w:r>
      <w:proofErr w:type="spellEnd"/>
      <w:r w:rsidRPr="00F915A7">
        <w:rPr>
          <w:color w:val="000000"/>
          <w:sz w:val="24"/>
          <w:szCs w:val="24"/>
          <w:lang w:val="en-GB"/>
        </w:rPr>
        <w:t xml:space="preserve"> </w:t>
      </w:r>
      <w:proofErr w:type="spellStart"/>
      <w:r w:rsidRPr="00F915A7">
        <w:rPr>
          <w:color w:val="000000"/>
          <w:sz w:val="24"/>
          <w:szCs w:val="24"/>
          <w:lang w:val="en-GB"/>
        </w:rPr>
        <w:t>Comunicación</w:t>
      </w:r>
      <w:proofErr w:type="spellEnd"/>
      <w:r w:rsidRPr="00F915A7">
        <w:rPr>
          <w:color w:val="000000"/>
          <w:sz w:val="24"/>
          <w:szCs w:val="24"/>
          <w:lang w:val="en-GB"/>
        </w:rPr>
        <w:t xml:space="preserve"> (2025), and (ii) satisfaction metrics and </w:t>
      </w:r>
      <w:proofErr w:type="spellStart"/>
      <w:r w:rsidRPr="00F915A7">
        <w:rPr>
          <w:color w:val="000000"/>
          <w:sz w:val="24"/>
          <w:szCs w:val="24"/>
          <w:lang w:val="en-GB"/>
        </w:rPr>
        <w:t>catalog</w:t>
      </w:r>
      <w:proofErr w:type="spellEnd"/>
      <w:r w:rsidRPr="00F915A7">
        <w:rPr>
          <w:color w:val="000000"/>
          <w:sz w:val="24"/>
          <w:szCs w:val="24"/>
          <w:lang w:val="en-GB"/>
        </w:rPr>
        <w:t xml:space="preserve"> valuation, according to GECA (2025), which raises new questions about the relationship between advertising strategies, value perception, retention, and churn.</w:t>
      </w:r>
    </w:p>
    <w:p w14:paraId="3C4F3D0B" w14:textId="77777777" w:rsidR="00466A15" w:rsidRPr="00F915A7" w:rsidRDefault="00000000">
      <w:pPr>
        <w:widowControl/>
        <w:pBdr>
          <w:top w:val="nil"/>
          <w:left w:val="nil"/>
          <w:bottom w:val="nil"/>
          <w:right w:val="nil"/>
          <w:between w:val="nil"/>
        </w:pBdr>
        <w:spacing w:after="80"/>
        <w:ind w:left="283"/>
        <w:jc w:val="both"/>
        <w:rPr>
          <w:color w:val="000000"/>
          <w:sz w:val="24"/>
          <w:szCs w:val="24"/>
          <w:lang w:val="en-GB"/>
        </w:rPr>
      </w:pPr>
      <w:r w:rsidRPr="00F915A7">
        <w:rPr>
          <w:color w:val="000000"/>
          <w:sz w:val="24"/>
          <w:szCs w:val="24"/>
          <w:lang w:val="en-GB"/>
        </w:rPr>
        <w:t xml:space="preserve">Furthermore, it would be pertinent to </w:t>
      </w:r>
      <w:proofErr w:type="spellStart"/>
      <w:r w:rsidRPr="00F915A7">
        <w:rPr>
          <w:color w:val="000000"/>
          <w:sz w:val="24"/>
          <w:szCs w:val="24"/>
          <w:lang w:val="en-GB"/>
        </w:rPr>
        <w:t>analyze</w:t>
      </w:r>
      <w:proofErr w:type="spellEnd"/>
      <w:r w:rsidRPr="00F915A7">
        <w:rPr>
          <w:color w:val="000000"/>
          <w:sz w:val="24"/>
          <w:szCs w:val="24"/>
          <w:lang w:val="en-GB"/>
        </w:rPr>
        <w:t xml:space="preserve"> the effect of ad load and targeting/measurement capabilities on the sustainability of the hybrid model.</w:t>
      </w:r>
    </w:p>
    <w:p w14:paraId="46E5AA2F" w14:textId="77777777" w:rsidR="00466A15" w:rsidRPr="00F915A7" w:rsidRDefault="00466A15">
      <w:pPr>
        <w:pStyle w:val="Ttulo2"/>
        <w:widowControl/>
        <w:ind w:left="0"/>
        <w:rPr>
          <w:lang w:val="en-GB"/>
        </w:rPr>
      </w:pPr>
      <w:bookmarkStart w:id="5" w:name="_heading=h.jyud6qj4gc13" w:colFirst="0" w:colLast="0"/>
      <w:bookmarkEnd w:id="5"/>
    </w:p>
    <w:p w14:paraId="73BEA915" w14:textId="77777777" w:rsidR="00466A15" w:rsidRDefault="00000000">
      <w:pPr>
        <w:pStyle w:val="Ttulo2"/>
        <w:widowControl/>
        <w:ind w:left="0"/>
      </w:pPr>
      <w:bookmarkStart w:id="6" w:name="_heading=h.5sm6joc6jfmp" w:colFirst="0" w:colLast="0"/>
      <w:bookmarkEnd w:id="6"/>
      <w:r>
        <w:t xml:space="preserve">6. </w:t>
      </w:r>
      <w:proofErr w:type="spellStart"/>
      <w:r>
        <w:t>References</w:t>
      </w:r>
      <w:proofErr w:type="spellEnd"/>
    </w:p>
    <w:p w14:paraId="74698CED"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Pr>
          <w:color w:val="000000"/>
          <w:sz w:val="24"/>
          <w:szCs w:val="24"/>
        </w:rPr>
        <w:t xml:space="preserve">Agustín-Lacruz, C. y Gómez-Díaz, R. (2021). En el laberinto de las plataformas VOD: Un estudio comparativo de Netflix, Amazon Prime Video, HBO, Movistar+ Lite, </w:t>
      </w:r>
      <w:proofErr w:type="spellStart"/>
      <w:r>
        <w:rPr>
          <w:color w:val="000000"/>
          <w:sz w:val="24"/>
          <w:szCs w:val="24"/>
        </w:rPr>
        <w:t>Filmin</w:t>
      </w:r>
      <w:proofErr w:type="spellEnd"/>
      <w:r>
        <w:rPr>
          <w:color w:val="000000"/>
          <w:sz w:val="24"/>
          <w:szCs w:val="24"/>
        </w:rPr>
        <w:t xml:space="preserve"> y Disney+. </w:t>
      </w:r>
      <w:r>
        <w:rPr>
          <w:i/>
          <w:iCs/>
          <w:color w:val="000000"/>
          <w:sz w:val="24"/>
          <w:szCs w:val="24"/>
        </w:rPr>
        <w:t>Cuadernos de Documentación Multimedia, 32</w:t>
      </w:r>
      <w:r>
        <w:rPr>
          <w:color w:val="000000"/>
          <w:sz w:val="24"/>
          <w:szCs w:val="24"/>
        </w:rPr>
        <w:t>, 1-15.</w:t>
      </w:r>
      <w:hyperlink r:id="rId20">
        <w:r>
          <w:rPr>
            <w:color w:val="000000"/>
            <w:sz w:val="24"/>
            <w:szCs w:val="24"/>
            <w:u w:val="single"/>
          </w:rPr>
          <w:t xml:space="preserve"> </w:t>
        </w:r>
      </w:hyperlink>
      <w:hyperlink r:id="rId21">
        <w:r>
          <w:rPr>
            <w:color w:val="1155CC"/>
            <w:sz w:val="24"/>
            <w:szCs w:val="24"/>
            <w:u w:val="single"/>
          </w:rPr>
          <w:t>https://doi.org/10.5209/cdmu.79113</w:t>
        </w:r>
      </w:hyperlink>
    </w:p>
    <w:p w14:paraId="10505B82"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Pr>
          <w:color w:val="000000"/>
          <w:sz w:val="24"/>
          <w:szCs w:val="24"/>
        </w:rPr>
        <w:t xml:space="preserve">Amazon.es. (2025). Amazon Prime: precios, beneficios y opciones de suscripción. </w:t>
      </w:r>
      <w:hyperlink r:id="rId22">
        <w:r>
          <w:rPr>
            <w:color w:val="1155CC"/>
            <w:sz w:val="24"/>
            <w:szCs w:val="24"/>
            <w:u w:val="single"/>
          </w:rPr>
          <w:t>https://www.amazon.es/AmazonPrime/?content-id=amzn1.sym.7434fe20-f8c0-45aa-82b3-82f16479687b</w:t>
        </w:r>
      </w:hyperlink>
      <w:r>
        <w:rPr>
          <w:color w:val="000000"/>
          <w:sz w:val="24"/>
          <w:szCs w:val="24"/>
        </w:rPr>
        <w:t> </w:t>
      </w:r>
    </w:p>
    <w:p w14:paraId="75D343FE"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sidRPr="00F915A7">
        <w:rPr>
          <w:color w:val="000000"/>
          <w:sz w:val="24"/>
          <w:szCs w:val="24"/>
          <w:lang w:val="en-GB"/>
        </w:rPr>
        <w:t xml:space="preserve">Amazon. (2025). Q1 2025 Financial Results. </w:t>
      </w:r>
      <w:hyperlink r:id="rId23">
        <w:r w:rsidRPr="00F915A7">
          <w:rPr>
            <w:color w:val="1155CC"/>
            <w:sz w:val="24"/>
            <w:szCs w:val="24"/>
            <w:u w:val="single"/>
            <w:lang w:val="en-GB"/>
          </w:rPr>
          <w:t>https://www.amazon.com/ir</w:t>
        </w:r>
      </w:hyperlink>
      <w:r w:rsidRPr="00F915A7">
        <w:rPr>
          <w:color w:val="000000"/>
          <w:sz w:val="24"/>
          <w:szCs w:val="24"/>
          <w:lang w:val="en-GB"/>
        </w:rPr>
        <w:t> </w:t>
      </w:r>
    </w:p>
    <w:p w14:paraId="44E46933"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sidRPr="00F915A7">
        <w:rPr>
          <w:color w:val="000000"/>
          <w:sz w:val="24"/>
          <w:szCs w:val="24"/>
          <w:lang w:val="en-GB"/>
        </w:rPr>
        <w:t xml:space="preserve">Amazon Ads. (2023). </w:t>
      </w:r>
      <w:r w:rsidRPr="00F915A7">
        <w:rPr>
          <w:i/>
          <w:iCs/>
          <w:color w:val="000000"/>
          <w:sz w:val="24"/>
          <w:szCs w:val="24"/>
          <w:lang w:val="en-GB"/>
        </w:rPr>
        <w:t>Prime Video Ads</w:t>
      </w:r>
      <w:r w:rsidRPr="00F915A7">
        <w:rPr>
          <w:color w:val="000000"/>
          <w:sz w:val="24"/>
          <w:szCs w:val="24"/>
          <w:lang w:val="en-GB"/>
        </w:rPr>
        <w:t>.</w:t>
      </w:r>
      <w:hyperlink r:id="rId24">
        <w:r w:rsidRPr="00F915A7">
          <w:rPr>
            <w:color w:val="000000"/>
            <w:sz w:val="24"/>
            <w:szCs w:val="24"/>
            <w:u w:val="single"/>
            <w:lang w:val="en-GB"/>
          </w:rPr>
          <w:t xml:space="preserve"> </w:t>
        </w:r>
      </w:hyperlink>
      <w:hyperlink r:id="rId25">
        <w:r w:rsidRPr="00F915A7">
          <w:rPr>
            <w:color w:val="1155CC"/>
            <w:sz w:val="24"/>
            <w:szCs w:val="24"/>
            <w:u w:val="single"/>
            <w:lang w:val="en-GB"/>
          </w:rPr>
          <w:t>https://advertising.amazon.com/es-mx/products/prime-video-ads</w:t>
        </w:r>
      </w:hyperlink>
    </w:p>
    <w:p w14:paraId="09A4A22C"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sidRPr="00F915A7">
        <w:rPr>
          <w:color w:val="000000"/>
          <w:sz w:val="24"/>
          <w:szCs w:val="24"/>
          <w:lang w:val="en-GB"/>
        </w:rPr>
        <w:lastRenderedPageBreak/>
        <w:t xml:space="preserve">Amazon Ads. </w:t>
      </w:r>
      <w:r>
        <w:rPr>
          <w:color w:val="000000"/>
          <w:sz w:val="24"/>
          <w:szCs w:val="24"/>
        </w:rPr>
        <w:t xml:space="preserve">(2024, octubre 15). Presentamos una expansión regional de los anuncios de Prime Video en 2025. </w:t>
      </w:r>
      <w:r w:rsidRPr="00F915A7">
        <w:rPr>
          <w:i/>
          <w:iCs/>
          <w:color w:val="000000"/>
          <w:sz w:val="24"/>
          <w:szCs w:val="24"/>
          <w:lang w:val="en-GB"/>
        </w:rPr>
        <w:t>Amazon Advertising</w:t>
      </w:r>
      <w:r w:rsidRPr="00F915A7">
        <w:rPr>
          <w:color w:val="000000"/>
          <w:sz w:val="24"/>
          <w:szCs w:val="24"/>
          <w:lang w:val="en-GB"/>
        </w:rPr>
        <w:t xml:space="preserve">. </w:t>
      </w:r>
      <w:hyperlink r:id="rId26">
        <w:r w:rsidRPr="00F915A7">
          <w:rPr>
            <w:color w:val="1155CC"/>
            <w:sz w:val="24"/>
            <w:szCs w:val="24"/>
            <w:u w:val="single"/>
            <w:lang w:val="en-GB"/>
          </w:rPr>
          <w:t>https://advertising.amazon.com/es-mx/library/news/unboxed-prime-video-advertising</w:t>
        </w:r>
      </w:hyperlink>
      <w:r w:rsidRPr="00F915A7">
        <w:rPr>
          <w:color w:val="000000"/>
          <w:sz w:val="24"/>
          <w:szCs w:val="24"/>
          <w:lang w:val="en-GB"/>
        </w:rPr>
        <w:t> </w:t>
      </w:r>
    </w:p>
    <w:p w14:paraId="0BEE20E5"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Pr>
          <w:color w:val="000000"/>
          <w:sz w:val="24"/>
          <w:szCs w:val="24"/>
        </w:rPr>
        <w:t xml:space="preserve">AMI. (2023). </w:t>
      </w:r>
      <w:r>
        <w:rPr>
          <w:i/>
          <w:iCs/>
          <w:color w:val="000000"/>
          <w:sz w:val="24"/>
          <w:szCs w:val="24"/>
        </w:rPr>
        <w:t>Tendencias del consumo audiovisual en América Latina</w:t>
      </w:r>
      <w:r>
        <w:rPr>
          <w:color w:val="000000"/>
          <w:sz w:val="24"/>
          <w:szCs w:val="24"/>
        </w:rPr>
        <w:t>. Asociación de Medios de Información.</w:t>
      </w:r>
    </w:p>
    <w:p w14:paraId="4970996D"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Pr>
          <w:color w:val="000000"/>
          <w:sz w:val="24"/>
          <w:szCs w:val="24"/>
        </w:rPr>
        <w:t xml:space="preserve">Arbolejo, N. (2025, enero 31). Irrumpe un nuevo paradigma publicitario para las plataformas de contenidos. </w:t>
      </w:r>
      <w:r>
        <w:rPr>
          <w:i/>
          <w:iCs/>
          <w:color w:val="000000"/>
          <w:sz w:val="24"/>
          <w:szCs w:val="24"/>
        </w:rPr>
        <w:t>El Mundo</w:t>
      </w:r>
      <w:r>
        <w:rPr>
          <w:color w:val="000000"/>
          <w:sz w:val="24"/>
          <w:szCs w:val="24"/>
        </w:rPr>
        <w:t xml:space="preserve">. </w:t>
      </w:r>
      <w:hyperlink r:id="rId27">
        <w:r>
          <w:rPr>
            <w:color w:val="1155CC"/>
            <w:sz w:val="24"/>
            <w:szCs w:val="24"/>
            <w:u w:val="single"/>
          </w:rPr>
          <w:t>https://www.elmundo.es/extras/publicidad/2025/01/31/679a53ddfdddff31678b45d3.html</w:t>
        </w:r>
      </w:hyperlink>
      <w:r>
        <w:rPr>
          <w:color w:val="000000"/>
          <w:sz w:val="24"/>
          <w:szCs w:val="24"/>
        </w:rPr>
        <w:t> </w:t>
      </w:r>
    </w:p>
    <w:p w14:paraId="7FBAD930"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Pr>
          <w:color w:val="000000"/>
          <w:sz w:val="24"/>
          <w:szCs w:val="24"/>
        </w:rPr>
        <w:t xml:space="preserve">Ballester, D. (2024, octubre 3). Amazon planea aumentar la publicidad en Prime Video a partir de 2025. </w:t>
      </w:r>
      <w:r>
        <w:rPr>
          <w:i/>
          <w:iCs/>
          <w:color w:val="000000"/>
          <w:sz w:val="24"/>
          <w:szCs w:val="24"/>
        </w:rPr>
        <w:t xml:space="preserve">Business </w:t>
      </w:r>
      <w:proofErr w:type="spellStart"/>
      <w:r>
        <w:rPr>
          <w:i/>
          <w:iCs/>
          <w:color w:val="000000"/>
          <w:sz w:val="24"/>
          <w:szCs w:val="24"/>
        </w:rPr>
        <w:t>Insider</w:t>
      </w:r>
      <w:proofErr w:type="spellEnd"/>
      <w:r>
        <w:rPr>
          <w:i/>
          <w:iCs/>
          <w:color w:val="000000"/>
          <w:sz w:val="24"/>
          <w:szCs w:val="24"/>
        </w:rPr>
        <w:t xml:space="preserve"> España</w:t>
      </w:r>
      <w:r>
        <w:rPr>
          <w:color w:val="000000"/>
          <w:sz w:val="24"/>
          <w:szCs w:val="24"/>
        </w:rPr>
        <w:t xml:space="preserve">. </w:t>
      </w:r>
      <w:hyperlink r:id="rId28">
        <w:r>
          <w:rPr>
            <w:color w:val="1155CC"/>
            <w:sz w:val="24"/>
            <w:szCs w:val="24"/>
            <w:u w:val="single"/>
          </w:rPr>
          <w:t>https://www.businessinsider.es/economia/amazon-planea-aumentar-publicidad-prime-video-partir-2025-1408907</w:t>
        </w:r>
      </w:hyperlink>
      <w:r>
        <w:rPr>
          <w:color w:val="000000"/>
          <w:sz w:val="24"/>
          <w:szCs w:val="24"/>
        </w:rPr>
        <w:t>  </w:t>
      </w:r>
    </w:p>
    <w:p w14:paraId="3E2B0A89"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Pr>
          <w:color w:val="000000"/>
          <w:sz w:val="24"/>
          <w:szCs w:val="24"/>
        </w:rPr>
        <w:t xml:space="preserve">Bárcenas, L. (2023). </w:t>
      </w:r>
      <w:r>
        <w:rPr>
          <w:i/>
          <w:iCs/>
          <w:color w:val="000000"/>
          <w:sz w:val="24"/>
          <w:szCs w:val="24"/>
        </w:rPr>
        <w:t xml:space="preserve">Panorama del </w:t>
      </w:r>
      <w:proofErr w:type="spellStart"/>
      <w:r>
        <w:rPr>
          <w:i/>
          <w:iCs/>
          <w:color w:val="000000"/>
          <w:sz w:val="24"/>
          <w:szCs w:val="24"/>
        </w:rPr>
        <w:t>streaming</w:t>
      </w:r>
      <w:proofErr w:type="spellEnd"/>
      <w:r>
        <w:rPr>
          <w:i/>
          <w:iCs/>
          <w:color w:val="000000"/>
          <w:sz w:val="24"/>
          <w:szCs w:val="24"/>
        </w:rPr>
        <w:t xml:space="preserve"> en México: entre la saturación y la diversificación</w:t>
      </w:r>
      <w:r>
        <w:rPr>
          <w:color w:val="000000"/>
          <w:sz w:val="24"/>
          <w:szCs w:val="24"/>
        </w:rPr>
        <w:t>. Observatorio de Medios Digitales Latinoamericanos.</w:t>
      </w:r>
    </w:p>
    <w:p w14:paraId="14400C9A"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Pr>
          <w:color w:val="000000"/>
          <w:sz w:val="24"/>
          <w:szCs w:val="24"/>
        </w:rPr>
        <w:t xml:space="preserve">Barlovento Comunicación. (2025, diciembre). </w:t>
      </w:r>
      <w:r>
        <w:rPr>
          <w:i/>
          <w:iCs/>
          <w:color w:val="000000"/>
          <w:sz w:val="24"/>
          <w:szCs w:val="24"/>
        </w:rPr>
        <w:t>Dimensión y alcance de las plataformas en TV conectada: Barómetro OTT (12.ª ola, diciembre 2025)</w:t>
      </w:r>
      <w:r>
        <w:rPr>
          <w:color w:val="000000"/>
          <w:sz w:val="24"/>
          <w:szCs w:val="24"/>
        </w:rPr>
        <w:t xml:space="preserve"> [Nota de prensa].</w:t>
      </w:r>
      <w:r>
        <w:rPr>
          <w:rFonts w:ascii="Times New Roman" w:eastAsia="Times New Roman" w:hAnsi="Times New Roman" w:cs="Times New Roman"/>
          <w:color w:val="000000"/>
          <w:sz w:val="24"/>
          <w:szCs w:val="24"/>
        </w:rPr>
        <w:t xml:space="preserve"> </w:t>
      </w:r>
      <w:hyperlink r:id="rId29">
        <w:r>
          <w:rPr>
            <w:color w:val="0000FF"/>
            <w:sz w:val="24"/>
            <w:szCs w:val="24"/>
            <w:u w:val="single"/>
          </w:rPr>
          <w:t>https://barloventocomunicacion.es/wp-content/uploads/2026/01/Nota-de-prensa-TV-CONECTADA-12a-ola-diciembre-2025.pdf</w:t>
        </w:r>
      </w:hyperlink>
      <w:r>
        <w:rPr>
          <w:color w:val="000000"/>
          <w:sz w:val="24"/>
          <w:szCs w:val="24"/>
        </w:rPr>
        <w:t xml:space="preserve"> </w:t>
      </w:r>
    </w:p>
    <w:p w14:paraId="783039D2"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Pr>
          <w:i/>
          <w:iCs/>
          <w:color w:val="000000"/>
          <w:sz w:val="24"/>
          <w:szCs w:val="24"/>
        </w:rPr>
        <w:t xml:space="preserve">Business </w:t>
      </w:r>
      <w:proofErr w:type="spellStart"/>
      <w:r>
        <w:rPr>
          <w:i/>
          <w:iCs/>
          <w:color w:val="000000"/>
          <w:sz w:val="24"/>
          <w:szCs w:val="24"/>
        </w:rPr>
        <w:t>Insider</w:t>
      </w:r>
      <w:proofErr w:type="spellEnd"/>
      <w:r>
        <w:rPr>
          <w:i/>
          <w:iCs/>
          <w:color w:val="000000"/>
          <w:sz w:val="24"/>
          <w:szCs w:val="24"/>
        </w:rPr>
        <w:t xml:space="preserve"> España</w:t>
      </w:r>
      <w:r>
        <w:rPr>
          <w:color w:val="000000"/>
          <w:sz w:val="24"/>
          <w:szCs w:val="24"/>
        </w:rPr>
        <w:t>.</w:t>
      </w:r>
      <w:hyperlink r:id="rId30">
        <w:r>
          <w:rPr>
            <w:color w:val="0000FF"/>
            <w:sz w:val="24"/>
            <w:szCs w:val="24"/>
            <w:u w:val="single"/>
          </w:rPr>
          <w:t xml:space="preserve"> https://www.businessinsider.es/archivo/quien-gana-guerra-streaming-netflix-disney-hbo-Max-869747</w:t>
        </w:r>
      </w:hyperlink>
    </w:p>
    <w:p w14:paraId="6D27313C"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Pr>
          <w:color w:val="000000"/>
          <w:sz w:val="24"/>
          <w:szCs w:val="24"/>
        </w:rPr>
        <w:t xml:space="preserve">Caballero, D. (2025, marzo 17). Netflix, HBO Max o Prime Video: ¿qué servicio en </w:t>
      </w:r>
      <w:proofErr w:type="spellStart"/>
      <w:r>
        <w:rPr>
          <w:color w:val="000000"/>
          <w:sz w:val="24"/>
          <w:szCs w:val="24"/>
        </w:rPr>
        <w:t>streaming</w:t>
      </w:r>
      <w:proofErr w:type="spellEnd"/>
      <w:r>
        <w:rPr>
          <w:color w:val="000000"/>
          <w:sz w:val="24"/>
          <w:szCs w:val="24"/>
        </w:rPr>
        <w:t xml:space="preserve"> es mejor? </w:t>
      </w:r>
      <w:proofErr w:type="spellStart"/>
      <w:r>
        <w:rPr>
          <w:color w:val="000000"/>
          <w:sz w:val="24"/>
          <w:szCs w:val="24"/>
        </w:rPr>
        <w:t>ADSLZone</w:t>
      </w:r>
      <w:proofErr w:type="spellEnd"/>
      <w:r>
        <w:rPr>
          <w:color w:val="000000"/>
          <w:sz w:val="24"/>
          <w:szCs w:val="24"/>
        </w:rPr>
        <w:t xml:space="preserve">. </w:t>
      </w:r>
      <w:hyperlink r:id="rId31">
        <w:r>
          <w:rPr>
            <w:color w:val="0000FF"/>
            <w:sz w:val="24"/>
            <w:szCs w:val="24"/>
            <w:u w:val="single"/>
          </w:rPr>
          <w:t>https://www.adslzone.net/noticias/streaming-tv/netflix-hbo-Max-amazon-prime-disney-plus-mejor-servicio/</w:t>
        </w:r>
      </w:hyperlink>
      <w:r>
        <w:rPr>
          <w:color w:val="000000"/>
          <w:sz w:val="24"/>
          <w:szCs w:val="24"/>
        </w:rPr>
        <w:t> </w:t>
      </w:r>
    </w:p>
    <w:p w14:paraId="1398C60F"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Pr>
          <w:color w:val="000000"/>
          <w:sz w:val="24"/>
          <w:szCs w:val="24"/>
        </w:rPr>
        <w:t xml:space="preserve">Chmielewski, D., &amp; </w:t>
      </w:r>
      <w:proofErr w:type="spellStart"/>
      <w:r>
        <w:rPr>
          <w:color w:val="000000"/>
          <w:sz w:val="24"/>
          <w:szCs w:val="24"/>
        </w:rPr>
        <w:t>Kachwala</w:t>
      </w:r>
      <w:proofErr w:type="spellEnd"/>
      <w:r>
        <w:rPr>
          <w:color w:val="000000"/>
          <w:sz w:val="24"/>
          <w:szCs w:val="24"/>
        </w:rPr>
        <w:t xml:space="preserve">, Z. (2025, 15 de mayo). </w:t>
      </w:r>
      <w:r w:rsidRPr="00F915A7">
        <w:rPr>
          <w:i/>
          <w:iCs/>
          <w:color w:val="000000"/>
          <w:sz w:val="24"/>
          <w:szCs w:val="24"/>
          <w:lang w:val="en-GB"/>
        </w:rPr>
        <w:t>Netflix says ad-supported service has 94 million subscribers</w:t>
      </w:r>
      <w:r w:rsidRPr="00F915A7">
        <w:rPr>
          <w:color w:val="000000"/>
          <w:sz w:val="24"/>
          <w:szCs w:val="24"/>
          <w:lang w:val="en-GB"/>
        </w:rPr>
        <w:t xml:space="preserve">. Reuters. </w:t>
      </w:r>
      <w:hyperlink r:id="rId32">
        <w:r w:rsidRPr="00F915A7">
          <w:rPr>
            <w:color w:val="0000FF"/>
            <w:sz w:val="24"/>
            <w:szCs w:val="24"/>
            <w:u w:val="single"/>
            <w:lang w:val="en-GB"/>
          </w:rPr>
          <w:t>https://www.reuters.com/technology/netflix-says-ad-supported-service-has-94-million-subscribers-2025-05-14/</w:t>
        </w:r>
      </w:hyperlink>
    </w:p>
    <w:p w14:paraId="66F2D948"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proofErr w:type="spellStart"/>
      <w:r w:rsidRPr="00F915A7">
        <w:rPr>
          <w:color w:val="000000"/>
          <w:sz w:val="24"/>
          <w:szCs w:val="24"/>
          <w:lang w:val="en-GB"/>
        </w:rPr>
        <w:t>CivicScience</w:t>
      </w:r>
      <w:proofErr w:type="spellEnd"/>
      <w:r w:rsidRPr="00F915A7">
        <w:rPr>
          <w:color w:val="000000"/>
          <w:sz w:val="24"/>
          <w:szCs w:val="24"/>
          <w:lang w:val="en-GB"/>
        </w:rPr>
        <w:t xml:space="preserve">. (2023, 10 de </w:t>
      </w:r>
      <w:proofErr w:type="spellStart"/>
      <w:r w:rsidRPr="00F915A7">
        <w:rPr>
          <w:color w:val="000000"/>
          <w:sz w:val="24"/>
          <w:szCs w:val="24"/>
          <w:lang w:val="en-GB"/>
        </w:rPr>
        <w:t>agosto</w:t>
      </w:r>
      <w:proofErr w:type="spellEnd"/>
      <w:r w:rsidRPr="00F915A7">
        <w:rPr>
          <w:color w:val="000000"/>
          <w:sz w:val="24"/>
          <w:szCs w:val="24"/>
          <w:lang w:val="en-GB"/>
        </w:rPr>
        <w:t xml:space="preserve">). One subscription too many – video streaming reaches an inflection point as consumers report feeling subscription </w:t>
      </w:r>
      <w:r w:rsidRPr="00F915A7">
        <w:rPr>
          <w:color w:val="000000"/>
          <w:sz w:val="24"/>
          <w:szCs w:val="24"/>
          <w:lang w:val="en-GB"/>
        </w:rPr>
        <w:lastRenderedPageBreak/>
        <w:t xml:space="preserve">fatigue. </w:t>
      </w:r>
      <w:proofErr w:type="spellStart"/>
      <w:r w:rsidRPr="00F915A7">
        <w:rPr>
          <w:color w:val="000000"/>
          <w:sz w:val="24"/>
          <w:szCs w:val="24"/>
          <w:lang w:val="en-GB"/>
        </w:rPr>
        <w:t>CivicScience</w:t>
      </w:r>
      <w:proofErr w:type="spellEnd"/>
      <w:r w:rsidRPr="00F915A7">
        <w:rPr>
          <w:color w:val="000000"/>
          <w:sz w:val="24"/>
          <w:szCs w:val="24"/>
          <w:lang w:val="en-GB"/>
        </w:rPr>
        <w:t xml:space="preserve">. </w:t>
      </w:r>
      <w:hyperlink r:id="rId33">
        <w:r w:rsidRPr="00F915A7">
          <w:rPr>
            <w:color w:val="1155CC"/>
            <w:sz w:val="24"/>
            <w:szCs w:val="24"/>
            <w:u w:val="single"/>
            <w:lang w:val="en-GB"/>
          </w:rPr>
          <w:t>https://civicscience.com/one-subscription-too-many-video-streaming-reaches-an-inflection-point-as-consumers-report-feeling-subscription-fatigue/</w:t>
        </w:r>
      </w:hyperlink>
      <w:r w:rsidRPr="00F915A7">
        <w:rPr>
          <w:color w:val="000000"/>
          <w:sz w:val="24"/>
          <w:szCs w:val="24"/>
          <w:lang w:val="en-GB"/>
        </w:rPr>
        <w:t> </w:t>
      </w:r>
    </w:p>
    <w:p w14:paraId="0D8682F7"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Pr>
          <w:color w:val="000000"/>
          <w:sz w:val="24"/>
          <w:szCs w:val="24"/>
        </w:rPr>
        <w:t xml:space="preserve">Cortés-Quesada, J.-A., Fernández-Gómez, E. y Feijoo, B. (2024). Inserción de publicidad tradicional en plataformas de contenido </w:t>
      </w:r>
      <w:proofErr w:type="spellStart"/>
      <w:r>
        <w:rPr>
          <w:color w:val="000000"/>
          <w:sz w:val="24"/>
          <w:szCs w:val="24"/>
        </w:rPr>
        <w:t>streaming</w:t>
      </w:r>
      <w:proofErr w:type="spellEnd"/>
      <w:r>
        <w:rPr>
          <w:color w:val="000000"/>
          <w:sz w:val="24"/>
          <w:szCs w:val="24"/>
        </w:rPr>
        <w:t xml:space="preserve">: El caso de Netflix España. </w:t>
      </w:r>
      <w:r>
        <w:rPr>
          <w:i/>
          <w:iCs/>
          <w:color w:val="000000"/>
          <w:sz w:val="24"/>
          <w:szCs w:val="24"/>
        </w:rPr>
        <w:t>Profesional de la información,</w:t>
      </w:r>
      <w:r>
        <w:rPr>
          <w:b/>
          <w:bCs/>
          <w:color w:val="000000"/>
          <w:sz w:val="24"/>
          <w:szCs w:val="24"/>
        </w:rPr>
        <w:t xml:space="preserve"> </w:t>
      </w:r>
      <w:r>
        <w:rPr>
          <w:color w:val="000000"/>
          <w:sz w:val="24"/>
          <w:szCs w:val="24"/>
        </w:rPr>
        <w:t xml:space="preserve">33(4). </w:t>
      </w:r>
      <w:hyperlink r:id="rId34">
        <w:r>
          <w:rPr>
            <w:color w:val="0000FF"/>
            <w:sz w:val="24"/>
            <w:szCs w:val="24"/>
            <w:u w:val="single"/>
          </w:rPr>
          <w:t>https://doi.org/10.3145/epi.2024.0401</w:t>
        </w:r>
      </w:hyperlink>
      <w:r>
        <w:rPr>
          <w:rFonts w:ascii="Times New Roman" w:eastAsia="Times New Roman" w:hAnsi="Times New Roman" w:cs="Times New Roman"/>
          <w:color w:val="000000"/>
          <w:sz w:val="24"/>
          <w:szCs w:val="24"/>
        </w:rPr>
        <w:t xml:space="preserve"> </w:t>
      </w:r>
    </w:p>
    <w:p w14:paraId="7C5AEF1B"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Pr>
          <w:color w:val="000000"/>
          <w:sz w:val="24"/>
          <w:szCs w:val="24"/>
        </w:rPr>
        <w:t xml:space="preserve">Dey, M. (2025, junio 23). </w:t>
      </w:r>
      <w:r w:rsidRPr="00F915A7">
        <w:rPr>
          <w:color w:val="000000"/>
          <w:sz w:val="24"/>
          <w:szCs w:val="24"/>
          <w:lang w:val="en-GB"/>
        </w:rPr>
        <w:t xml:space="preserve">Amazon Prime Video Statistics By Revenue And Facts. Sci-Tech Today. </w:t>
      </w:r>
      <w:hyperlink r:id="rId35">
        <w:r w:rsidRPr="00F915A7">
          <w:rPr>
            <w:color w:val="1155CC"/>
            <w:sz w:val="24"/>
            <w:szCs w:val="24"/>
            <w:u w:val="single"/>
            <w:lang w:val="en-GB"/>
          </w:rPr>
          <w:t>https://www.sci-tech-today.com/stats/amazon-prime-video-statistics-updated/</w:t>
        </w:r>
      </w:hyperlink>
      <w:r w:rsidRPr="00F915A7">
        <w:rPr>
          <w:color w:val="000000"/>
          <w:sz w:val="24"/>
          <w:szCs w:val="24"/>
          <w:lang w:val="en-GB"/>
        </w:rPr>
        <w:t> </w:t>
      </w:r>
    </w:p>
    <w:p w14:paraId="4793D38C"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sidRPr="00F915A7">
        <w:rPr>
          <w:color w:val="000000"/>
          <w:sz w:val="24"/>
          <w:szCs w:val="24"/>
          <w:lang w:val="en-GB"/>
        </w:rPr>
        <w:t xml:space="preserve">Dichter, E. (1960). </w:t>
      </w:r>
      <w:r w:rsidRPr="00F915A7">
        <w:rPr>
          <w:i/>
          <w:iCs/>
          <w:color w:val="000000"/>
          <w:sz w:val="24"/>
          <w:szCs w:val="24"/>
          <w:lang w:val="en-GB"/>
        </w:rPr>
        <w:t>The strategy of desire</w:t>
      </w:r>
      <w:r w:rsidRPr="00F915A7">
        <w:rPr>
          <w:color w:val="000000"/>
          <w:sz w:val="24"/>
          <w:szCs w:val="24"/>
          <w:lang w:val="en-GB"/>
        </w:rPr>
        <w:t>. Doubleday.</w:t>
      </w:r>
    </w:p>
    <w:p w14:paraId="0D277BB4"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sidRPr="00F915A7">
        <w:rPr>
          <w:color w:val="000000"/>
          <w:sz w:val="24"/>
          <w:szCs w:val="24"/>
          <w:lang w:val="en-GB"/>
        </w:rPr>
        <w:t xml:space="preserve">Digital TV Research. (2021). </w:t>
      </w:r>
      <w:r w:rsidRPr="00F915A7">
        <w:rPr>
          <w:i/>
          <w:iCs/>
          <w:color w:val="000000"/>
          <w:sz w:val="24"/>
          <w:szCs w:val="24"/>
          <w:lang w:val="en-GB"/>
        </w:rPr>
        <w:t>Global AVOD Forecasts Report 2021</w:t>
      </w:r>
      <w:r w:rsidRPr="00F915A7">
        <w:rPr>
          <w:color w:val="000000"/>
          <w:sz w:val="24"/>
          <w:szCs w:val="24"/>
          <w:lang w:val="en-GB"/>
        </w:rPr>
        <w:t xml:space="preserve"> [Informe]. En Research and Markets. </w:t>
      </w:r>
      <w:proofErr w:type="spellStart"/>
      <w:r w:rsidRPr="00F915A7">
        <w:rPr>
          <w:color w:val="000000"/>
          <w:sz w:val="24"/>
          <w:szCs w:val="24"/>
          <w:lang w:val="en-GB"/>
        </w:rPr>
        <w:t>Mencionado</w:t>
      </w:r>
      <w:proofErr w:type="spellEnd"/>
      <w:r w:rsidRPr="00F915A7">
        <w:rPr>
          <w:color w:val="000000"/>
          <w:sz w:val="24"/>
          <w:szCs w:val="24"/>
          <w:lang w:val="en-GB"/>
        </w:rPr>
        <w:t xml:space="preserve"> </w:t>
      </w:r>
      <w:proofErr w:type="spellStart"/>
      <w:r w:rsidRPr="00F915A7">
        <w:rPr>
          <w:color w:val="000000"/>
          <w:sz w:val="24"/>
          <w:szCs w:val="24"/>
          <w:lang w:val="en-GB"/>
        </w:rPr>
        <w:t>por</w:t>
      </w:r>
      <w:proofErr w:type="spellEnd"/>
      <w:r w:rsidRPr="00F915A7">
        <w:rPr>
          <w:color w:val="000000"/>
          <w:sz w:val="24"/>
          <w:szCs w:val="24"/>
          <w:lang w:val="en-GB"/>
        </w:rPr>
        <w:t xml:space="preserve"> C21Media, </w:t>
      </w:r>
      <w:proofErr w:type="spellStart"/>
      <w:r w:rsidRPr="00F915A7">
        <w:rPr>
          <w:color w:val="000000"/>
          <w:sz w:val="24"/>
          <w:szCs w:val="24"/>
          <w:lang w:val="en-GB"/>
        </w:rPr>
        <w:t>MediaPost</w:t>
      </w:r>
      <w:proofErr w:type="spellEnd"/>
      <w:r w:rsidRPr="00F915A7">
        <w:rPr>
          <w:color w:val="000000"/>
          <w:sz w:val="24"/>
          <w:szCs w:val="24"/>
          <w:lang w:val="en-GB"/>
        </w:rPr>
        <w:t xml:space="preserve"> y The Broadcast Bridge.</w:t>
      </w:r>
    </w:p>
    <w:p w14:paraId="3EC153B3"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Pr>
          <w:i/>
          <w:iCs/>
          <w:color w:val="000000"/>
          <w:sz w:val="24"/>
          <w:szCs w:val="24"/>
        </w:rPr>
        <w:t>Europa Press</w:t>
      </w:r>
      <w:r>
        <w:rPr>
          <w:color w:val="000000"/>
          <w:sz w:val="24"/>
          <w:szCs w:val="24"/>
        </w:rPr>
        <w:t xml:space="preserve">. (2023, noviembre 1). Ya disponible en España el plan de suscripción con anuncios de Disney+ por 5,99 euros al mes. COPE. </w:t>
      </w:r>
      <w:hyperlink r:id="rId36">
        <w:r>
          <w:rPr>
            <w:color w:val="1155CC"/>
            <w:sz w:val="24"/>
            <w:szCs w:val="24"/>
            <w:u w:val="single"/>
          </w:rPr>
          <w:t>https://www.cope.es/actualidad/tecnologia/noticias/disponible-espana-plan-suscripcion-con-anuncios-disney-por-599-euros-mes-20231101_2978823</w:t>
        </w:r>
      </w:hyperlink>
      <w:r>
        <w:rPr>
          <w:color w:val="000000"/>
          <w:sz w:val="24"/>
          <w:szCs w:val="24"/>
        </w:rPr>
        <w:t> </w:t>
      </w:r>
    </w:p>
    <w:p w14:paraId="19B4D36B"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Pr>
          <w:color w:val="000000"/>
          <w:sz w:val="24"/>
          <w:szCs w:val="24"/>
        </w:rPr>
        <w:t>Fernández, S. (2022). El modelo publicitario de Netflix: una evolución en la monetización del contenido digital. </w:t>
      </w:r>
    </w:p>
    <w:p w14:paraId="491F7E19"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Pr>
          <w:color w:val="000000"/>
          <w:sz w:val="24"/>
          <w:szCs w:val="24"/>
        </w:rPr>
        <w:t xml:space="preserve">Fernández, Y. (2025, enero 22). Precio de Disney+ (2025): todos los planes y tarifas disponibles en España. </w:t>
      </w:r>
      <w:proofErr w:type="spellStart"/>
      <w:r w:rsidRPr="00F915A7">
        <w:rPr>
          <w:color w:val="000000"/>
          <w:sz w:val="24"/>
          <w:szCs w:val="24"/>
          <w:lang w:val="en-GB"/>
        </w:rPr>
        <w:t>Xataka</w:t>
      </w:r>
      <w:proofErr w:type="spellEnd"/>
      <w:r w:rsidRPr="00F915A7">
        <w:rPr>
          <w:color w:val="000000"/>
          <w:sz w:val="24"/>
          <w:szCs w:val="24"/>
          <w:lang w:val="en-GB"/>
        </w:rPr>
        <w:t xml:space="preserve"> Basics. </w:t>
      </w:r>
      <w:hyperlink r:id="rId37">
        <w:r w:rsidRPr="00F915A7">
          <w:rPr>
            <w:color w:val="1155CC"/>
            <w:sz w:val="24"/>
            <w:szCs w:val="24"/>
            <w:u w:val="single"/>
            <w:lang w:val="en-GB"/>
          </w:rPr>
          <w:t>https://www.xataka.com/basics/precio-disney-2025-todos-planes-tarifas-disponibles-espana</w:t>
        </w:r>
      </w:hyperlink>
      <w:r w:rsidRPr="00F915A7">
        <w:rPr>
          <w:color w:val="000000"/>
          <w:sz w:val="24"/>
          <w:szCs w:val="24"/>
          <w:lang w:val="en-GB"/>
        </w:rPr>
        <w:t> </w:t>
      </w:r>
    </w:p>
    <w:p w14:paraId="583550D5"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Pr>
          <w:color w:val="000000"/>
          <w:sz w:val="24"/>
          <w:szCs w:val="24"/>
        </w:rPr>
        <w:t xml:space="preserve">Fernández-Gómez, E., Martín-Quevedo, J., &amp; Castro, D. (2025). Presentación del Monográfico: </w:t>
      </w:r>
      <w:proofErr w:type="spellStart"/>
      <w:r>
        <w:rPr>
          <w:color w:val="000000"/>
          <w:sz w:val="24"/>
          <w:szCs w:val="24"/>
        </w:rPr>
        <w:t>Streaming</w:t>
      </w:r>
      <w:proofErr w:type="spellEnd"/>
      <w:r>
        <w:rPr>
          <w:color w:val="000000"/>
          <w:sz w:val="24"/>
          <w:szCs w:val="24"/>
        </w:rPr>
        <w:t>, bienvenido a la televisión. Nuevas tendencias en el ecosistema de plataformas bajo demanda. Revista Latina de Comunicación Social, 83, 1-6.</w:t>
      </w:r>
      <w:hyperlink r:id="rId38">
        <w:r>
          <w:rPr>
            <w:color w:val="000000"/>
            <w:sz w:val="24"/>
            <w:szCs w:val="24"/>
            <w:u w:val="single"/>
          </w:rPr>
          <w:t xml:space="preserve"> </w:t>
        </w:r>
      </w:hyperlink>
      <w:hyperlink r:id="rId39">
        <w:r>
          <w:rPr>
            <w:color w:val="1155CC"/>
            <w:sz w:val="24"/>
            <w:szCs w:val="24"/>
            <w:u w:val="single"/>
          </w:rPr>
          <w:t>https://doi.org/10.4185/rlcs-2025-2532</w:t>
        </w:r>
      </w:hyperlink>
    </w:p>
    <w:p w14:paraId="106AEDB9"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Pr>
          <w:color w:val="000000"/>
          <w:sz w:val="24"/>
          <w:szCs w:val="24"/>
        </w:rPr>
        <w:t>Fuentes Prieto, J. M. (2024, 23 de octubre). Amazon planea aumentar la publicidad en Prime Video a partir de 2025. https://bitacoraenlared.com/internet/amazon-planea-aumentar-la-publicidad-en-prime-video-a-partir-de-2025/</w:t>
      </w:r>
    </w:p>
    <w:p w14:paraId="712E8CB9"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Pr>
          <w:color w:val="000000"/>
          <w:sz w:val="24"/>
          <w:szCs w:val="24"/>
        </w:rPr>
        <w:lastRenderedPageBreak/>
        <w:t xml:space="preserve">García Chamizo, F., Carrero Márquez, O. y Díaz, V. (2023). Netflix, Prime Video y Disney Plus, nuevos problemas en su modelo de negocio. En </w:t>
      </w:r>
      <w:r>
        <w:rPr>
          <w:i/>
          <w:iCs/>
          <w:color w:val="000000"/>
          <w:sz w:val="24"/>
          <w:szCs w:val="24"/>
        </w:rPr>
        <w:t>Contenidos audiovisuales para un mundo de pantallas multivalentes</w:t>
      </w:r>
      <w:r>
        <w:rPr>
          <w:color w:val="000000"/>
          <w:sz w:val="24"/>
          <w:szCs w:val="24"/>
        </w:rPr>
        <w:t>. Peter Lang.</w:t>
      </w:r>
    </w:p>
    <w:p w14:paraId="21D99017"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Pr>
          <w:color w:val="000000"/>
          <w:sz w:val="24"/>
          <w:szCs w:val="24"/>
        </w:rPr>
        <w:t xml:space="preserve">García Chamizo, F. y Miranda, J. (2022). </w:t>
      </w:r>
      <w:r w:rsidRPr="00F915A7">
        <w:rPr>
          <w:color w:val="000000"/>
          <w:sz w:val="24"/>
          <w:szCs w:val="24"/>
          <w:lang w:val="en-GB"/>
        </w:rPr>
        <w:t xml:space="preserve">Netflix incorporates advertising into its business model: Pre-roll and the alliance with Microsoft as a solution to its stock market debacle. </w:t>
      </w:r>
      <w:r w:rsidRPr="00F915A7">
        <w:rPr>
          <w:i/>
          <w:iCs/>
          <w:color w:val="000000"/>
          <w:sz w:val="24"/>
          <w:szCs w:val="24"/>
          <w:lang w:val="en-GB"/>
        </w:rPr>
        <w:t>VISUAL REVIEW. International Visual Culture Review Revista Internacional De Cultura Visual</w:t>
      </w:r>
      <w:r w:rsidRPr="00F915A7">
        <w:rPr>
          <w:color w:val="000000"/>
          <w:sz w:val="24"/>
          <w:szCs w:val="24"/>
          <w:lang w:val="en-GB"/>
        </w:rPr>
        <w:t xml:space="preserve">, 11(4), 1–13. </w:t>
      </w:r>
      <w:hyperlink r:id="rId40">
        <w:r w:rsidRPr="00F915A7">
          <w:rPr>
            <w:color w:val="1155CC"/>
            <w:sz w:val="24"/>
            <w:szCs w:val="24"/>
            <w:u w:val="single"/>
            <w:lang w:val="en-GB"/>
          </w:rPr>
          <w:t>https://doi.org/10.37467/revvisual.v9.3692</w:t>
        </w:r>
      </w:hyperlink>
      <w:r w:rsidRPr="00F915A7">
        <w:rPr>
          <w:color w:val="000000"/>
          <w:sz w:val="24"/>
          <w:szCs w:val="24"/>
          <w:lang w:val="en-GB"/>
        </w:rPr>
        <w:t> </w:t>
      </w:r>
    </w:p>
    <w:p w14:paraId="32799800"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sidRPr="00F915A7">
        <w:rPr>
          <w:color w:val="000000"/>
          <w:sz w:val="24"/>
          <w:szCs w:val="24"/>
          <w:lang w:val="en-GB"/>
        </w:rPr>
        <w:t xml:space="preserve">Gamboa, G. (2025). Netflix </w:t>
      </w:r>
      <w:proofErr w:type="spellStart"/>
      <w:r w:rsidRPr="00F915A7">
        <w:rPr>
          <w:color w:val="000000"/>
          <w:sz w:val="24"/>
          <w:szCs w:val="24"/>
          <w:lang w:val="en-GB"/>
        </w:rPr>
        <w:t>proyecta</w:t>
      </w:r>
      <w:proofErr w:type="spellEnd"/>
      <w:r w:rsidRPr="00F915A7">
        <w:rPr>
          <w:color w:val="000000"/>
          <w:sz w:val="24"/>
          <w:szCs w:val="24"/>
          <w:lang w:val="en-GB"/>
        </w:rPr>
        <w:t xml:space="preserve"> </w:t>
      </w:r>
      <w:proofErr w:type="spellStart"/>
      <w:r w:rsidRPr="00F915A7">
        <w:rPr>
          <w:color w:val="000000"/>
          <w:sz w:val="24"/>
          <w:szCs w:val="24"/>
          <w:lang w:val="en-GB"/>
        </w:rPr>
        <w:t>ingresos</w:t>
      </w:r>
      <w:proofErr w:type="spellEnd"/>
      <w:r w:rsidRPr="00F915A7">
        <w:rPr>
          <w:color w:val="000000"/>
          <w:sz w:val="24"/>
          <w:szCs w:val="24"/>
          <w:lang w:val="en-GB"/>
        </w:rPr>
        <w:t xml:space="preserve"> </w:t>
      </w:r>
      <w:proofErr w:type="spellStart"/>
      <w:r w:rsidRPr="00F915A7">
        <w:rPr>
          <w:color w:val="000000"/>
          <w:sz w:val="24"/>
          <w:szCs w:val="24"/>
          <w:lang w:val="en-GB"/>
        </w:rPr>
        <w:t>publicitarios</w:t>
      </w:r>
      <w:proofErr w:type="spellEnd"/>
      <w:r w:rsidRPr="00F915A7">
        <w:rPr>
          <w:color w:val="000000"/>
          <w:sz w:val="24"/>
          <w:szCs w:val="24"/>
          <w:lang w:val="en-GB"/>
        </w:rPr>
        <w:t xml:space="preserve"> de 3,200 </w:t>
      </w:r>
      <w:proofErr w:type="spellStart"/>
      <w:r w:rsidRPr="00F915A7">
        <w:rPr>
          <w:color w:val="000000"/>
          <w:sz w:val="24"/>
          <w:szCs w:val="24"/>
          <w:lang w:val="en-GB"/>
        </w:rPr>
        <w:t>millones</w:t>
      </w:r>
      <w:proofErr w:type="spellEnd"/>
      <w:r w:rsidRPr="00F915A7">
        <w:rPr>
          <w:color w:val="000000"/>
          <w:sz w:val="24"/>
          <w:szCs w:val="24"/>
          <w:lang w:val="en-GB"/>
        </w:rPr>
        <w:t xml:space="preserve"> de </w:t>
      </w:r>
      <w:proofErr w:type="spellStart"/>
      <w:r w:rsidRPr="00F915A7">
        <w:rPr>
          <w:color w:val="000000"/>
          <w:sz w:val="24"/>
          <w:szCs w:val="24"/>
          <w:lang w:val="en-GB"/>
        </w:rPr>
        <w:t>dólares</w:t>
      </w:r>
      <w:proofErr w:type="spellEnd"/>
      <w:r w:rsidRPr="00F915A7">
        <w:rPr>
          <w:color w:val="000000"/>
          <w:sz w:val="24"/>
          <w:szCs w:val="24"/>
          <w:lang w:val="en-GB"/>
        </w:rPr>
        <w:t xml:space="preserve"> para </w:t>
      </w:r>
      <w:proofErr w:type="spellStart"/>
      <w:r w:rsidRPr="00F915A7">
        <w:rPr>
          <w:color w:val="000000"/>
          <w:sz w:val="24"/>
          <w:szCs w:val="24"/>
          <w:lang w:val="en-GB"/>
        </w:rPr>
        <w:t>este</w:t>
      </w:r>
      <w:proofErr w:type="spellEnd"/>
      <w:r w:rsidRPr="00F915A7">
        <w:rPr>
          <w:color w:val="000000"/>
          <w:sz w:val="24"/>
          <w:szCs w:val="24"/>
          <w:lang w:val="en-GB"/>
        </w:rPr>
        <w:t xml:space="preserve"> 2025. </w:t>
      </w:r>
      <w:r w:rsidRPr="00F915A7">
        <w:rPr>
          <w:i/>
          <w:iCs/>
          <w:color w:val="000000"/>
          <w:sz w:val="24"/>
          <w:szCs w:val="24"/>
          <w:lang w:val="en-GB"/>
        </w:rPr>
        <w:t>Mercado Negro</w:t>
      </w:r>
      <w:r w:rsidRPr="00F915A7">
        <w:rPr>
          <w:color w:val="000000"/>
          <w:sz w:val="24"/>
          <w:szCs w:val="24"/>
          <w:lang w:val="en-GB"/>
        </w:rPr>
        <w:t xml:space="preserve">. </w:t>
      </w:r>
      <w:hyperlink r:id="rId41">
        <w:r w:rsidRPr="00F915A7">
          <w:rPr>
            <w:color w:val="1155CC"/>
            <w:sz w:val="24"/>
            <w:szCs w:val="24"/>
            <w:u w:val="single"/>
            <w:lang w:val="en-GB"/>
          </w:rPr>
          <w:t>https://www.mercadonegro.pe/marketing/netflix-proyecta-ingresos-publicitarios-de-3200-millones-de-dolares-para-este-2025/</w:t>
        </w:r>
      </w:hyperlink>
      <w:r w:rsidRPr="00F915A7">
        <w:rPr>
          <w:color w:val="000000"/>
          <w:sz w:val="24"/>
          <w:szCs w:val="24"/>
          <w:lang w:val="en-GB"/>
        </w:rPr>
        <w:t>  </w:t>
      </w:r>
    </w:p>
    <w:p w14:paraId="7DC90313"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sidRPr="00F915A7">
        <w:rPr>
          <w:color w:val="000000"/>
          <w:sz w:val="24"/>
          <w:szCs w:val="24"/>
          <w:lang w:val="en-GB"/>
        </w:rPr>
        <w:t xml:space="preserve">GECA. (2025, 24 de </w:t>
      </w:r>
      <w:proofErr w:type="spellStart"/>
      <w:r w:rsidRPr="00F915A7">
        <w:rPr>
          <w:color w:val="000000"/>
          <w:sz w:val="24"/>
          <w:szCs w:val="24"/>
          <w:lang w:val="en-GB"/>
        </w:rPr>
        <w:t>noviembre</w:t>
      </w:r>
      <w:proofErr w:type="spellEnd"/>
      <w:r w:rsidRPr="00F915A7">
        <w:rPr>
          <w:color w:val="000000"/>
          <w:sz w:val="24"/>
          <w:szCs w:val="24"/>
          <w:lang w:val="en-GB"/>
        </w:rPr>
        <w:t xml:space="preserve">). </w:t>
      </w:r>
      <w:r>
        <w:rPr>
          <w:i/>
          <w:iCs/>
          <w:color w:val="000000"/>
          <w:sz w:val="24"/>
          <w:szCs w:val="24"/>
        </w:rPr>
        <w:t>Barómetro OTT Cine: Avance de resultados. Oleada Trimestre Agosto–Octubre 2025</w:t>
      </w:r>
      <w:r>
        <w:rPr>
          <w:color w:val="000000"/>
          <w:sz w:val="24"/>
          <w:szCs w:val="24"/>
        </w:rPr>
        <w:t xml:space="preserve"> [Informe]. Gabinete de Estudios de la Comunicación Audiovisual.</w:t>
      </w:r>
      <w:hyperlink r:id="rId42">
        <w:r>
          <w:rPr>
            <w:color w:val="0000FF"/>
            <w:sz w:val="24"/>
            <w:szCs w:val="24"/>
            <w:u w:val="single"/>
          </w:rPr>
          <w:t>https://webgeca.geca.es/wpcontent/uploads/2025/12/GECA_Barometro-OTT_Cine_Noviembre_2025_PRENSA-1.pdf</w:t>
        </w:r>
      </w:hyperlink>
    </w:p>
    <w:p w14:paraId="2387F042"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Pr>
          <w:color w:val="000000"/>
          <w:sz w:val="24"/>
          <w:szCs w:val="24"/>
        </w:rPr>
        <w:t xml:space="preserve">GECA. (2025). </w:t>
      </w:r>
      <w:r>
        <w:rPr>
          <w:i/>
          <w:iCs/>
          <w:color w:val="000000"/>
          <w:sz w:val="24"/>
          <w:szCs w:val="24"/>
        </w:rPr>
        <w:t xml:space="preserve">Informe anual sobre plataformas de </w:t>
      </w:r>
      <w:proofErr w:type="spellStart"/>
      <w:r>
        <w:rPr>
          <w:i/>
          <w:iCs/>
          <w:color w:val="000000"/>
          <w:sz w:val="24"/>
          <w:szCs w:val="24"/>
        </w:rPr>
        <w:t>streaming</w:t>
      </w:r>
      <w:proofErr w:type="spellEnd"/>
      <w:r>
        <w:rPr>
          <w:i/>
          <w:iCs/>
          <w:color w:val="000000"/>
          <w:sz w:val="24"/>
          <w:szCs w:val="24"/>
        </w:rPr>
        <w:t xml:space="preserve"> en España</w:t>
      </w:r>
      <w:r>
        <w:rPr>
          <w:color w:val="000000"/>
          <w:sz w:val="24"/>
          <w:szCs w:val="24"/>
        </w:rPr>
        <w:t>. Gabinete de Estudios de la Comunicación Audiovisual.</w:t>
      </w:r>
    </w:p>
    <w:p w14:paraId="3118CD4C"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Pr>
          <w:color w:val="000000"/>
          <w:sz w:val="24"/>
          <w:szCs w:val="24"/>
        </w:rPr>
        <w:t xml:space="preserve">González, A. (2022, 27 de septiembre). Ingresos de plataformas de </w:t>
      </w:r>
      <w:proofErr w:type="spellStart"/>
      <w:r>
        <w:rPr>
          <w:color w:val="000000"/>
          <w:sz w:val="24"/>
          <w:szCs w:val="24"/>
        </w:rPr>
        <w:t>streaming</w:t>
      </w:r>
      <w:proofErr w:type="spellEnd"/>
      <w:r>
        <w:rPr>
          <w:color w:val="000000"/>
          <w:sz w:val="24"/>
          <w:szCs w:val="24"/>
        </w:rPr>
        <w:t xml:space="preserve"> en América Latina crecerán 70%.</w:t>
      </w:r>
    </w:p>
    <w:p w14:paraId="1F88B4BA"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sidRPr="00F915A7">
        <w:rPr>
          <w:i/>
          <w:iCs/>
          <w:color w:val="000000"/>
          <w:sz w:val="24"/>
          <w:szCs w:val="24"/>
          <w:lang w:val="en-GB"/>
        </w:rPr>
        <w:t>DPL News</w:t>
      </w:r>
      <w:r w:rsidRPr="00F915A7">
        <w:rPr>
          <w:color w:val="000000"/>
          <w:sz w:val="24"/>
          <w:szCs w:val="24"/>
          <w:lang w:val="en-GB"/>
        </w:rPr>
        <w:t>.</w:t>
      </w:r>
      <w:hyperlink r:id="rId43">
        <w:r w:rsidRPr="00F915A7">
          <w:rPr>
            <w:color w:val="000000"/>
            <w:sz w:val="24"/>
            <w:szCs w:val="24"/>
            <w:u w:val="single"/>
            <w:lang w:val="en-GB"/>
          </w:rPr>
          <w:t xml:space="preserve"> </w:t>
        </w:r>
      </w:hyperlink>
      <w:hyperlink r:id="rId44">
        <w:r w:rsidRPr="00F915A7">
          <w:rPr>
            <w:color w:val="1155CC"/>
            <w:sz w:val="24"/>
            <w:szCs w:val="24"/>
            <w:u w:val="single"/>
            <w:lang w:val="en-GB"/>
          </w:rPr>
          <w:t>https://dplnews.com/ingresos-de-plataformas-de-streaming-en-america-latina-creceran-70/</w:t>
        </w:r>
      </w:hyperlink>
    </w:p>
    <w:p w14:paraId="5A8A0E6C"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Pr>
          <w:color w:val="000000"/>
          <w:sz w:val="24"/>
          <w:szCs w:val="24"/>
        </w:rPr>
        <w:t xml:space="preserve">Heredia, M. O. (2022). Contenido original: La apuesta estratégica de las plataformas de </w:t>
      </w:r>
      <w:proofErr w:type="spellStart"/>
      <w:r>
        <w:rPr>
          <w:color w:val="000000"/>
          <w:sz w:val="24"/>
          <w:szCs w:val="24"/>
        </w:rPr>
        <w:t>streaming</w:t>
      </w:r>
      <w:proofErr w:type="spellEnd"/>
      <w:r>
        <w:rPr>
          <w:color w:val="000000"/>
          <w:sz w:val="24"/>
          <w:szCs w:val="24"/>
        </w:rPr>
        <w:t xml:space="preserve">. El caso Netflix en Latinoamérica. Universidad Andina Simón Bolívar. </w:t>
      </w:r>
      <w:hyperlink r:id="rId45">
        <w:r>
          <w:rPr>
            <w:color w:val="1155CC"/>
            <w:sz w:val="24"/>
            <w:szCs w:val="24"/>
            <w:u w:val="single"/>
          </w:rPr>
          <w:t>https://repositorio.uasb.edu.ec/bitstream/10644/8748/1/03-MO-Heredia.pd</w:t>
        </w:r>
      </w:hyperlink>
      <w:hyperlink r:id="rId46">
        <w:r>
          <w:rPr>
            <w:color w:val="1155CC"/>
            <w:sz w:val="24"/>
            <w:szCs w:val="24"/>
            <w:u w:val="single"/>
            <w:shd w:val="clear" w:color="auto" w:fill="FAFAFA"/>
          </w:rPr>
          <w:t>f</w:t>
        </w:r>
      </w:hyperlink>
      <w:r>
        <w:rPr>
          <w:color w:val="424242"/>
          <w:sz w:val="24"/>
          <w:szCs w:val="24"/>
          <w:shd w:val="clear" w:color="auto" w:fill="FAFAFA"/>
        </w:rPr>
        <w:t xml:space="preserve">. </w:t>
      </w:r>
      <w:r>
        <w:rPr>
          <w:color w:val="000000"/>
          <w:sz w:val="24"/>
          <w:szCs w:val="24"/>
        </w:rPr>
        <w:t xml:space="preserve">Contenido original: La apuesta estratégica de las plataformas de </w:t>
      </w:r>
      <w:proofErr w:type="spellStart"/>
      <w:r>
        <w:rPr>
          <w:color w:val="000000"/>
          <w:sz w:val="24"/>
          <w:szCs w:val="24"/>
        </w:rPr>
        <w:t>streaming</w:t>
      </w:r>
      <w:proofErr w:type="spellEnd"/>
      <w:r>
        <w:rPr>
          <w:color w:val="000000"/>
          <w:sz w:val="24"/>
          <w:szCs w:val="24"/>
        </w:rPr>
        <w:t>. El caso Netflix en Latinoamérica</w:t>
      </w:r>
    </w:p>
    <w:p w14:paraId="7D5830AE"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Pr>
          <w:color w:val="000000"/>
          <w:sz w:val="24"/>
          <w:szCs w:val="24"/>
        </w:rPr>
        <w:t xml:space="preserve">Hesmondhalgh, D. (2019). </w:t>
      </w:r>
      <w:r>
        <w:rPr>
          <w:i/>
          <w:iCs/>
          <w:color w:val="000000"/>
          <w:sz w:val="24"/>
          <w:szCs w:val="24"/>
        </w:rPr>
        <w:t>The cultural industries</w:t>
      </w:r>
      <w:r>
        <w:rPr>
          <w:color w:val="000000"/>
          <w:sz w:val="24"/>
          <w:szCs w:val="24"/>
        </w:rPr>
        <w:t xml:space="preserve"> (4th ed.). </w:t>
      </w:r>
      <w:r w:rsidRPr="00F915A7">
        <w:rPr>
          <w:color w:val="000000"/>
          <w:sz w:val="24"/>
          <w:szCs w:val="24"/>
          <w:lang w:val="en-GB"/>
        </w:rPr>
        <w:t>SAGE Publications.</w:t>
      </w:r>
    </w:p>
    <w:p w14:paraId="3B506F2F"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sidRPr="00F915A7">
        <w:rPr>
          <w:color w:val="000000"/>
          <w:sz w:val="24"/>
          <w:szCs w:val="24"/>
          <w:lang w:val="en-GB"/>
        </w:rPr>
        <w:t xml:space="preserve">Jenner, M. (2021). </w:t>
      </w:r>
      <w:r w:rsidRPr="00F915A7">
        <w:rPr>
          <w:i/>
          <w:iCs/>
          <w:color w:val="000000"/>
          <w:sz w:val="24"/>
          <w:szCs w:val="24"/>
          <w:lang w:val="en-GB"/>
        </w:rPr>
        <w:t>Binge-watching and contemporary television culture</w:t>
      </w:r>
      <w:r w:rsidRPr="00F915A7">
        <w:rPr>
          <w:color w:val="000000"/>
          <w:sz w:val="24"/>
          <w:szCs w:val="24"/>
          <w:lang w:val="en-GB"/>
        </w:rPr>
        <w:t xml:space="preserve">. </w:t>
      </w:r>
      <w:r>
        <w:rPr>
          <w:color w:val="000000"/>
          <w:sz w:val="24"/>
          <w:szCs w:val="24"/>
        </w:rPr>
        <w:t>Routledge.</w:t>
      </w:r>
    </w:p>
    <w:p w14:paraId="17C62E2D"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pt-BR"/>
        </w:rPr>
      </w:pPr>
      <w:r>
        <w:rPr>
          <w:color w:val="000000"/>
          <w:sz w:val="24"/>
          <w:szCs w:val="24"/>
        </w:rPr>
        <w:lastRenderedPageBreak/>
        <w:t xml:space="preserve">Jiménez, E., &amp; Peralta, M. (2022). Netflix ¿una decisión equivocada? El cambio de modelo de negocio y la percepción de los usuarios. </w:t>
      </w:r>
      <w:r w:rsidRPr="00F915A7">
        <w:rPr>
          <w:i/>
          <w:iCs/>
          <w:color w:val="000000"/>
          <w:sz w:val="24"/>
          <w:szCs w:val="24"/>
          <w:lang w:val="pt-BR"/>
        </w:rPr>
        <w:t>Revista Visual, (19)</w:t>
      </w:r>
      <w:r w:rsidRPr="00F915A7">
        <w:rPr>
          <w:color w:val="000000"/>
          <w:sz w:val="24"/>
          <w:szCs w:val="24"/>
          <w:lang w:val="pt-BR"/>
        </w:rPr>
        <w:t>, 137-149.</w:t>
      </w:r>
      <w:hyperlink r:id="rId47">
        <w:r w:rsidRPr="00F915A7">
          <w:rPr>
            <w:color w:val="000000"/>
            <w:sz w:val="24"/>
            <w:szCs w:val="24"/>
            <w:u w:val="single"/>
            <w:lang w:val="pt-BR"/>
          </w:rPr>
          <w:t xml:space="preserve"> </w:t>
        </w:r>
      </w:hyperlink>
      <w:hyperlink r:id="rId48">
        <w:r w:rsidRPr="00F915A7">
          <w:rPr>
            <w:color w:val="1155CC"/>
            <w:sz w:val="24"/>
            <w:szCs w:val="24"/>
            <w:u w:val="single"/>
            <w:lang w:val="pt-BR"/>
          </w:rPr>
          <w:t>https://visualcompublications.es/revVISUAL/article/view/3692</w:t>
        </w:r>
      </w:hyperlink>
    </w:p>
    <w:p w14:paraId="28E62E7E"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proofErr w:type="spellStart"/>
      <w:r w:rsidRPr="00F915A7">
        <w:rPr>
          <w:color w:val="000000"/>
          <w:sz w:val="24"/>
          <w:szCs w:val="24"/>
          <w:lang w:val="pt-BR"/>
        </w:rPr>
        <w:t>Kyrk</w:t>
      </w:r>
      <w:proofErr w:type="spellEnd"/>
      <w:r w:rsidRPr="00F915A7">
        <w:rPr>
          <w:color w:val="000000"/>
          <w:sz w:val="24"/>
          <w:szCs w:val="24"/>
          <w:lang w:val="pt-BR"/>
        </w:rPr>
        <w:t xml:space="preserve">, H. (1923). </w:t>
      </w:r>
      <w:r w:rsidRPr="00F915A7">
        <w:rPr>
          <w:i/>
          <w:iCs/>
          <w:color w:val="000000"/>
          <w:sz w:val="24"/>
          <w:szCs w:val="24"/>
          <w:lang w:val="en-GB"/>
        </w:rPr>
        <w:t>A theory of consumption</w:t>
      </w:r>
      <w:r w:rsidRPr="00F915A7">
        <w:rPr>
          <w:color w:val="000000"/>
          <w:sz w:val="24"/>
          <w:szCs w:val="24"/>
          <w:lang w:val="en-GB"/>
        </w:rPr>
        <w:t>. University of Chicago Press.</w:t>
      </w:r>
    </w:p>
    <w:p w14:paraId="21926FD1"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Pr>
          <w:color w:val="000000"/>
          <w:sz w:val="24"/>
          <w:szCs w:val="24"/>
        </w:rPr>
        <w:t>León García, J. (2023, 27 de enero). Suscripciones con propaganda: el peaje del '</w:t>
      </w:r>
      <w:proofErr w:type="spellStart"/>
      <w:r>
        <w:rPr>
          <w:color w:val="000000"/>
          <w:sz w:val="24"/>
          <w:szCs w:val="24"/>
        </w:rPr>
        <w:t>streaming</w:t>
      </w:r>
      <w:proofErr w:type="spellEnd"/>
      <w:r>
        <w:rPr>
          <w:color w:val="000000"/>
          <w:sz w:val="24"/>
          <w:szCs w:val="24"/>
        </w:rPr>
        <w:t xml:space="preserve">'. </w:t>
      </w:r>
      <w:r>
        <w:rPr>
          <w:i/>
          <w:iCs/>
          <w:color w:val="000000"/>
          <w:sz w:val="24"/>
          <w:szCs w:val="24"/>
        </w:rPr>
        <w:t>El País</w:t>
      </w:r>
      <w:r>
        <w:rPr>
          <w:color w:val="000000"/>
          <w:sz w:val="24"/>
          <w:szCs w:val="24"/>
        </w:rPr>
        <w:t xml:space="preserve">. </w:t>
      </w:r>
      <w:hyperlink r:id="rId49">
        <w:r>
          <w:rPr>
            <w:color w:val="1155CC"/>
            <w:sz w:val="24"/>
            <w:szCs w:val="24"/>
            <w:u w:val="single"/>
          </w:rPr>
          <w:t>https://elpais.com/extra/publicidad/2023-01-27/suscripciones-con-propaganda-el-peaje-del-streaming.html</w:t>
        </w:r>
      </w:hyperlink>
      <w:r>
        <w:rPr>
          <w:color w:val="000000"/>
          <w:sz w:val="24"/>
          <w:szCs w:val="24"/>
        </w:rPr>
        <w:t> </w:t>
      </w:r>
    </w:p>
    <w:p w14:paraId="09D868D0" w14:textId="77777777" w:rsidR="00466A15" w:rsidRDefault="00000000">
      <w:pPr>
        <w:widowControl/>
        <w:pBdr>
          <w:top w:val="nil"/>
          <w:left w:val="nil"/>
          <w:bottom w:val="nil"/>
          <w:right w:val="nil"/>
          <w:between w:val="nil"/>
        </w:pBdr>
        <w:spacing w:before="240" w:after="240"/>
        <w:ind w:left="283"/>
        <w:jc w:val="both"/>
        <w:rPr>
          <w:color w:val="000000"/>
          <w:sz w:val="24"/>
          <w:szCs w:val="24"/>
        </w:rPr>
      </w:pPr>
      <w:proofErr w:type="spellStart"/>
      <w:r>
        <w:rPr>
          <w:color w:val="000000"/>
          <w:sz w:val="24"/>
          <w:szCs w:val="24"/>
        </w:rPr>
        <w:t>LobeMark</w:t>
      </w:r>
      <w:proofErr w:type="spellEnd"/>
      <w:r>
        <w:rPr>
          <w:color w:val="000000"/>
          <w:sz w:val="24"/>
          <w:szCs w:val="24"/>
        </w:rPr>
        <w:t xml:space="preserve">. (2025, 21 de enero). Netflix apuesta por duplicar sus ingresos publicitarios para 2025. </w:t>
      </w:r>
      <w:hyperlink r:id="rId50">
        <w:r>
          <w:rPr>
            <w:color w:val="1155CC"/>
            <w:sz w:val="24"/>
            <w:szCs w:val="24"/>
            <w:u w:val="single"/>
          </w:rPr>
          <w:t>https://lobemark.com/medios/netflix-apuesta-por-duplicar-sus-ingresos-publicitarios-para-2025-nid-11840</w:t>
        </w:r>
      </w:hyperlink>
      <w:r>
        <w:rPr>
          <w:color w:val="000000"/>
          <w:sz w:val="24"/>
          <w:szCs w:val="24"/>
        </w:rPr>
        <w:t> </w:t>
      </w:r>
    </w:p>
    <w:p w14:paraId="4E39BCC4"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Pr>
          <w:i/>
          <w:iCs/>
          <w:color w:val="000000"/>
          <w:sz w:val="24"/>
          <w:szCs w:val="24"/>
        </w:rPr>
        <w:t>El País</w:t>
      </w:r>
      <w:r>
        <w:rPr>
          <w:color w:val="000000"/>
          <w:sz w:val="24"/>
          <w:szCs w:val="24"/>
        </w:rPr>
        <w:t>. https://elpais.com/extra/publicidad/2023-01-27/suscripciones-con-propaganda-el-peaje-del-streaming.html</w:t>
      </w:r>
    </w:p>
    <w:p w14:paraId="180B96CE"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Pr>
          <w:color w:val="000000"/>
          <w:sz w:val="24"/>
          <w:szCs w:val="24"/>
        </w:rPr>
        <w:t xml:space="preserve">HBO Max España. (2025, abril 4). HBO Max lanza un plan básico con anuncios en España para ampliar las posibilidades de suscripción. </w:t>
      </w:r>
      <w:r w:rsidRPr="00F915A7">
        <w:rPr>
          <w:color w:val="000000"/>
          <w:sz w:val="24"/>
          <w:szCs w:val="24"/>
          <w:lang w:val="en-GB"/>
        </w:rPr>
        <w:t xml:space="preserve">HBO Max Press. </w:t>
      </w:r>
      <w:hyperlink r:id="rId51">
        <w:r w:rsidRPr="00F915A7">
          <w:rPr>
            <w:color w:val="0000FF"/>
            <w:sz w:val="24"/>
            <w:szCs w:val="24"/>
            <w:u w:val="single"/>
            <w:lang w:val="en-GB"/>
          </w:rPr>
          <w:t>https://press-spain.Max.com/post/Max-lanza-un-plan-basico-con-anuncios-en-espana-para-ampliar-las</w:t>
        </w:r>
      </w:hyperlink>
      <w:r w:rsidRPr="00F915A7">
        <w:rPr>
          <w:color w:val="000000"/>
          <w:sz w:val="24"/>
          <w:szCs w:val="24"/>
          <w:lang w:val="en-GB"/>
        </w:rPr>
        <w:t> </w:t>
      </w:r>
    </w:p>
    <w:p w14:paraId="0FA50A05"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Pr>
          <w:color w:val="000000"/>
          <w:sz w:val="24"/>
          <w:szCs w:val="24"/>
        </w:rPr>
        <w:t xml:space="preserve">Neira, E. (2020). </w:t>
      </w:r>
      <w:proofErr w:type="spellStart"/>
      <w:r>
        <w:rPr>
          <w:i/>
          <w:iCs/>
          <w:color w:val="000000"/>
          <w:sz w:val="24"/>
          <w:szCs w:val="24"/>
        </w:rPr>
        <w:t>Streaming</w:t>
      </w:r>
      <w:proofErr w:type="spellEnd"/>
      <w:r>
        <w:rPr>
          <w:i/>
          <w:iCs/>
          <w:color w:val="000000"/>
          <w:sz w:val="24"/>
          <w:szCs w:val="24"/>
        </w:rPr>
        <w:t xml:space="preserve"> Wars: La nueva televisión</w:t>
      </w:r>
      <w:r>
        <w:rPr>
          <w:color w:val="000000"/>
          <w:sz w:val="24"/>
          <w:szCs w:val="24"/>
        </w:rPr>
        <w:t xml:space="preserve">. </w:t>
      </w:r>
      <w:r w:rsidRPr="00F915A7">
        <w:rPr>
          <w:color w:val="000000"/>
          <w:sz w:val="24"/>
          <w:szCs w:val="24"/>
          <w:lang w:val="en-GB"/>
        </w:rPr>
        <w:t xml:space="preserve">Libros </w:t>
      </w:r>
      <w:proofErr w:type="spellStart"/>
      <w:r w:rsidRPr="00F915A7">
        <w:rPr>
          <w:color w:val="000000"/>
          <w:sz w:val="24"/>
          <w:szCs w:val="24"/>
          <w:lang w:val="en-GB"/>
        </w:rPr>
        <w:t>Cúpula</w:t>
      </w:r>
      <w:proofErr w:type="spellEnd"/>
      <w:r w:rsidRPr="00F915A7">
        <w:rPr>
          <w:color w:val="000000"/>
          <w:sz w:val="24"/>
          <w:szCs w:val="24"/>
          <w:lang w:val="en-GB"/>
        </w:rPr>
        <w:t>.</w:t>
      </w:r>
    </w:p>
    <w:p w14:paraId="497E2999"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sidRPr="00F915A7">
        <w:rPr>
          <w:color w:val="000000"/>
          <w:sz w:val="24"/>
          <w:szCs w:val="24"/>
          <w:lang w:val="en-GB"/>
        </w:rPr>
        <w:t xml:space="preserve">Netflix, Inc. (2026, January 7). </w:t>
      </w:r>
      <w:r w:rsidRPr="00F915A7">
        <w:rPr>
          <w:i/>
          <w:iCs/>
          <w:color w:val="000000"/>
          <w:sz w:val="24"/>
          <w:szCs w:val="24"/>
          <w:lang w:val="en-GB"/>
        </w:rPr>
        <w:t>Netflix supports Warner Bros. Discovery board’s commitment to merger agreement</w:t>
      </w:r>
      <w:r w:rsidRPr="00F915A7">
        <w:rPr>
          <w:color w:val="000000"/>
          <w:sz w:val="24"/>
          <w:szCs w:val="24"/>
          <w:lang w:val="en-GB"/>
        </w:rPr>
        <w:t xml:space="preserve"> [Press release]. About Netflix.</w:t>
      </w:r>
    </w:p>
    <w:p w14:paraId="080EACE0"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sidRPr="00F915A7">
        <w:rPr>
          <w:color w:val="000000"/>
          <w:sz w:val="24"/>
          <w:szCs w:val="24"/>
          <w:lang w:val="en-GB"/>
        </w:rPr>
        <w:t xml:space="preserve">Netflix. (2025). Earnings Report Q2 2025. </w:t>
      </w:r>
      <w:hyperlink r:id="rId52">
        <w:r w:rsidRPr="00F915A7">
          <w:rPr>
            <w:color w:val="1155CC"/>
            <w:sz w:val="24"/>
            <w:szCs w:val="24"/>
            <w:u w:val="single"/>
            <w:lang w:val="en-GB"/>
          </w:rPr>
          <w:t>https://ir.netflix.net</w:t>
        </w:r>
      </w:hyperlink>
      <w:r w:rsidRPr="00F915A7">
        <w:rPr>
          <w:color w:val="000000"/>
          <w:sz w:val="24"/>
          <w:szCs w:val="24"/>
          <w:lang w:val="en-GB"/>
        </w:rPr>
        <w:t> </w:t>
      </w:r>
    </w:p>
    <w:p w14:paraId="360ABC22"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sidRPr="00F915A7">
        <w:rPr>
          <w:color w:val="000000"/>
          <w:sz w:val="24"/>
          <w:szCs w:val="24"/>
          <w:lang w:val="en-GB"/>
        </w:rPr>
        <w:t xml:space="preserve">Netflix, Inc. (2025, 17 de </w:t>
      </w:r>
      <w:proofErr w:type="spellStart"/>
      <w:r w:rsidRPr="00F915A7">
        <w:rPr>
          <w:color w:val="000000"/>
          <w:sz w:val="24"/>
          <w:szCs w:val="24"/>
          <w:lang w:val="en-GB"/>
        </w:rPr>
        <w:t>julio</w:t>
      </w:r>
      <w:proofErr w:type="spellEnd"/>
      <w:r w:rsidRPr="00F915A7">
        <w:rPr>
          <w:color w:val="000000"/>
          <w:sz w:val="24"/>
          <w:szCs w:val="24"/>
          <w:lang w:val="en-GB"/>
        </w:rPr>
        <w:t xml:space="preserve">). </w:t>
      </w:r>
      <w:r w:rsidRPr="00F915A7">
        <w:rPr>
          <w:i/>
          <w:iCs/>
          <w:color w:val="000000"/>
          <w:sz w:val="24"/>
          <w:szCs w:val="24"/>
          <w:lang w:val="en-GB"/>
        </w:rPr>
        <w:t>Q2 2025 shareholder letter</w:t>
      </w:r>
      <w:r w:rsidRPr="00F915A7">
        <w:rPr>
          <w:color w:val="000000"/>
          <w:sz w:val="24"/>
          <w:szCs w:val="24"/>
          <w:lang w:val="en-GB"/>
        </w:rPr>
        <w:t xml:space="preserve"> [PDF]. </w:t>
      </w:r>
      <w:r>
        <w:rPr>
          <w:color w:val="000000"/>
          <w:sz w:val="24"/>
          <w:szCs w:val="24"/>
        </w:rPr>
        <w:t xml:space="preserve">Poder360. </w:t>
      </w:r>
      <w:hyperlink r:id="rId53">
        <w:r>
          <w:rPr>
            <w:color w:val="0000FF"/>
            <w:sz w:val="24"/>
            <w:szCs w:val="24"/>
            <w:u w:val="single"/>
          </w:rPr>
          <w:t>https://static.poder360.com.br/2025/07/FINAL-Q2-25-Shareholder-Letter.pdf</w:t>
        </w:r>
      </w:hyperlink>
    </w:p>
    <w:p w14:paraId="54E02504"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Pr>
          <w:color w:val="000000"/>
          <w:sz w:val="24"/>
          <w:szCs w:val="24"/>
        </w:rPr>
        <w:t xml:space="preserve">Netflix. (2022, octubre 13). Anunciamos Básico con anuncios, el plan de Netflix más asequible con publicidad. </w:t>
      </w:r>
      <w:r w:rsidRPr="00F915A7">
        <w:rPr>
          <w:color w:val="000000"/>
          <w:sz w:val="24"/>
          <w:szCs w:val="24"/>
          <w:lang w:val="en-GB"/>
        </w:rPr>
        <w:t xml:space="preserve">About Netflix. </w:t>
      </w:r>
      <w:hyperlink r:id="rId54">
        <w:r w:rsidRPr="00F915A7">
          <w:rPr>
            <w:color w:val="1155CC"/>
            <w:sz w:val="24"/>
            <w:szCs w:val="24"/>
            <w:u w:val="single"/>
            <w:lang w:val="en-GB"/>
          </w:rPr>
          <w:t>https://about.netflix.com/es_es/news/announcing-basic-with-ads-es</w:t>
        </w:r>
      </w:hyperlink>
      <w:r w:rsidRPr="00F915A7">
        <w:rPr>
          <w:color w:val="000000"/>
          <w:sz w:val="24"/>
          <w:szCs w:val="24"/>
          <w:lang w:val="en-GB"/>
        </w:rPr>
        <w:t> </w:t>
      </w:r>
    </w:p>
    <w:p w14:paraId="35F8DAED"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Pr>
          <w:color w:val="000000"/>
          <w:sz w:val="24"/>
          <w:szCs w:val="24"/>
        </w:rPr>
        <w:t xml:space="preserve">Pacheco, C. (2024, 3 de octubre). Amazon Prime Video mostrará aún más anuncios en series y películas en 2025. </w:t>
      </w:r>
      <w:proofErr w:type="spellStart"/>
      <w:r>
        <w:rPr>
          <w:color w:val="000000"/>
          <w:sz w:val="24"/>
          <w:szCs w:val="24"/>
        </w:rPr>
        <w:t>ComputerHoy</w:t>
      </w:r>
      <w:proofErr w:type="spellEnd"/>
      <w:r>
        <w:rPr>
          <w:color w:val="000000"/>
          <w:sz w:val="24"/>
          <w:szCs w:val="24"/>
        </w:rPr>
        <w:t xml:space="preserve">. </w:t>
      </w:r>
      <w:hyperlink r:id="rId55">
        <w:r>
          <w:rPr>
            <w:color w:val="1155CC"/>
            <w:sz w:val="24"/>
            <w:szCs w:val="24"/>
            <w:u w:val="single"/>
          </w:rPr>
          <w:t>https://computerhoy.20minutos.es/amazon/amazon-prime-video-mostrara-aun-anuncios-series-peliculas-2025-1408904</w:t>
        </w:r>
      </w:hyperlink>
      <w:r>
        <w:rPr>
          <w:color w:val="000000"/>
          <w:sz w:val="24"/>
          <w:szCs w:val="24"/>
        </w:rPr>
        <w:t> </w:t>
      </w:r>
    </w:p>
    <w:p w14:paraId="26F39316" w14:textId="77777777" w:rsidR="00466A15" w:rsidRDefault="00000000">
      <w:pPr>
        <w:widowControl/>
        <w:pBdr>
          <w:top w:val="nil"/>
          <w:left w:val="nil"/>
          <w:bottom w:val="nil"/>
          <w:right w:val="nil"/>
          <w:between w:val="nil"/>
        </w:pBdr>
        <w:spacing w:before="240" w:after="240"/>
        <w:ind w:left="283"/>
        <w:jc w:val="both"/>
        <w:rPr>
          <w:color w:val="000000"/>
          <w:sz w:val="24"/>
          <w:szCs w:val="24"/>
        </w:rPr>
      </w:pPr>
      <w:proofErr w:type="spellStart"/>
      <w:r>
        <w:rPr>
          <w:color w:val="000000"/>
          <w:sz w:val="24"/>
          <w:szCs w:val="24"/>
        </w:rPr>
        <w:lastRenderedPageBreak/>
        <w:t>PuroMarketing</w:t>
      </w:r>
      <w:proofErr w:type="spellEnd"/>
      <w:r>
        <w:rPr>
          <w:color w:val="000000"/>
          <w:sz w:val="24"/>
          <w:szCs w:val="24"/>
        </w:rPr>
        <w:t xml:space="preserve">. (2025, 16 de enero). Netflix espera duplicar sus ingresos por publicidad en 2025 con el modelo de suscripción con anuncios. </w:t>
      </w:r>
      <w:hyperlink r:id="rId56">
        <w:r>
          <w:rPr>
            <w:color w:val="1155CC"/>
            <w:sz w:val="24"/>
            <w:szCs w:val="24"/>
            <w:u w:val="single"/>
          </w:rPr>
          <w:t>https://www.puromarketing.com/14/214971/netflix-espera-duplicar-ingresos-publicidad-2025-modelo-suscripcion-anuncios</w:t>
        </w:r>
      </w:hyperlink>
      <w:r>
        <w:rPr>
          <w:color w:val="000000"/>
          <w:sz w:val="24"/>
          <w:szCs w:val="24"/>
        </w:rPr>
        <w:t> </w:t>
      </w:r>
    </w:p>
    <w:p w14:paraId="695E766D"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Pr>
          <w:color w:val="000000"/>
          <w:sz w:val="24"/>
          <w:szCs w:val="24"/>
        </w:rPr>
        <w:t xml:space="preserve">Redacción </w:t>
      </w:r>
      <w:proofErr w:type="spellStart"/>
      <w:r>
        <w:rPr>
          <w:i/>
          <w:iCs/>
          <w:color w:val="000000"/>
          <w:sz w:val="24"/>
          <w:szCs w:val="24"/>
        </w:rPr>
        <w:t>PRNoticias</w:t>
      </w:r>
      <w:proofErr w:type="spellEnd"/>
      <w:r>
        <w:rPr>
          <w:color w:val="000000"/>
          <w:sz w:val="24"/>
          <w:szCs w:val="24"/>
        </w:rPr>
        <w:t xml:space="preserve">. (2025, julio 31). Netflix elimina su plan básico definitivamente: ver anuncios o pagar más. </w:t>
      </w:r>
      <w:proofErr w:type="spellStart"/>
      <w:r>
        <w:rPr>
          <w:color w:val="000000"/>
          <w:sz w:val="24"/>
          <w:szCs w:val="24"/>
        </w:rPr>
        <w:t>PRNoticias</w:t>
      </w:r>
      <w:proofErr w:type="spellEnd"/>
      <w:r>
        <w:rPr>
          <w:color w:val="000000"/>
          <w:sz w:val="24"/>
          <w:szCs w:val="24"/>
        </w:rPr>
        <w:t xml:space="preserve">. </w:t>
      </w:r>
      <w:hyperlink r:id="rId57">
        <w:r>
          <w:rPr>
            <w:color w:val="1155CC"/>
            <w:sz w:val="24"/>
            <w:szCs w:val="24"/>
            <w:u w:val="single"/>
          </w:rPr>
          <w:t>https://prnoticias.com/2025/07/31/netflix-elimina-su-plan-basico-definitivamente-ver-anuncios-o-pagar-mas/</w:t>
        </w:r>
      </w:hyperlink>
      <w:r>
        <w:rPr>
          <w:color w:val="000000"/>
          <w:sz w:val="24"/>
          <w:szCs w:val="24"/>
        </w:rPr>
        <w:t> </w:t>
      </w:r>
    </w:p>
    <w:p w14:paraId="67F21FB8"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Pr>
          <w:color w:val="000000"/>
          <w:sz w:val="24"/>
          <w:szCs w:val="24"/>
        </w:rPr>
        <w:t xml:space="preserve">Rodríguez, A. (2025, 22 de mayo). ¿Quién gana la guerra del </w:t>
      </w:r>
      <w:proofErr w:type="spellStart"/>
      <w:r>
        <w:rPr>
          <w:i/>
          <w:iCs/>
          <w:color w:val="000000"/>
          <w:sz w:val="24"/>
          <w:szCs w:val="24"/>
        </w:rPr>
        <w:t>streaming</w:t>
      </w:r>
      <w:proofErr w:type="spellEnd"/>
      <w:r>
        <w:rPr>
          <w:color w:val="000000"/>
          <w:sz w:val="24"/>
          <w:szCs w:val="24"/>
        </w:rPr>
        <w:t>? Así compiten Netflix, Disney+ y HBO Max para atraer suscriptores en 2025.</w:t>
      </w:r>
    </w:p>
    <w:p w14:paraId="4EB7B3CE"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sidRPr="00F915A7">
        <w:rPr>
          <w:color w:val="000000"/>
          <w:sz w:val="24"/>
          <w:szCs w:val="24"/>
          <w:lang w:val="en-GB"/>
        </w:rPr>
        <w:t xml:space="preserve">Simon-Kucher &amp; Partners. (2024, </w:t>
      </w:r>
      <w:proofErr w:type="spellStart"/>
      <w:r w:rsidRPr="00F915A7">
        <w:rPr>
          <w:color w:val="000000"/>
          <w:sz w:val="24"/>
          <w:szCs w:val="24"/>
          <w:lang w:val="en-GB"/>
        </w:rPr>
        <w:t>agosto</w:t>
      </w:r>
      <w:proofErr w:type="spellEnd"/>
      <w:r w:rsidRPr="00F915A7">
        <w:rPr>
          <w:color w:val="000000"/>
          <w:sz w:val="24"/>
          <w:szCs w:val="24"/>
          <w:lang w:val="en-GB"/>
        </w:rPr>
        <w:t xml:space="preserve">). The state of streaming services in the U.S.: Navigating subscription fatigue and driving retention. </w:t>
      </w:r>
      <w:hyperlink r:id="rId58">
        <w:r>
          <w:rPr>
            <w:color w:val="1155CC"/>
            <w:sz w:val="24"/>
            <w:szCs w:val="24"/>
            <w:u w:val="single"/>
          </w:rPr>
          <w:t>https://www.simon-kucher.com/en/insights/state-streaming-services-us-navigating-subscription-fatigue-and-driving-retention</w:t>
        </w:r>
      </w:hyperlink>
      <w:r>
        <w:rPr>
          <w:color w:val="000000"/>
          <w:sz w:val="24"/>
          <w:szCs w:val="24"/>
        </w:rPr>
        <w:t>   </w:t>
      </w:r>
    </w:p>
    <w:p w14:paraId="7879B721"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sidRPr="00F915A7">
        <w:rPr>
          <w:color w:val="000000"/>
          <w:sz w:val="24"/>
          <w:szCs w:val="24"/>
          <w:lang w:val="en-GB"/>
        </w:rPr>
        <w:t xml:space="preserve">Simon, H. A. (1971). </w:t>
      </w:r>
      <w:r w:rsidRPr="00F915A7">
        <w:rPr>
          <w:i/>
          <w:iCs/>
          <w:color w:val="000000"/>
          <w:sz w:val="24"/>
          <w:szCs w:val="24"/>
          <w:lang w:val="en-GB"/>
        </w:rPr>
        <w:t>Designing organisations for an information-rich world</w:t>
      </w:r>
      <w:r w:rsidRPr="00F915A7">
        <w:rPr>
          <w:color w:val="000000"/>
          <w:sz w:val="24"/>
          <w:szCs w:val="24"/>
          <w:lang w:val="en-GB"/>
        </w:rPr>
        <w:t>. En M. Greenberger (Ed.), Computer, communications and the public interest (pp. 40–41). Johns Hopkins University Press.</w:t>
      </w:r>
    </w:p>
    <w:p w14:paraId="70737043"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sidRPr="00F915A7">
        <w:rPr>
          <w:color w:val="000000"/>
          <w:sz w:val="24"/>
          <w:szCs w:val="24"/>
          <w:lang w:val="en-GB"/>
        </w:rPr>
        <w:t xml:space="preserve">Singh, S. (2025, </w:t>
      </w:r>
      <w:proofErr w:type="spellStart"/>
      <w:r w:rsidRPr="00F915A7">
        <w:rPr>
          <w:color w:val="000000"/>
          <w:sz w:val="24"/>
          <w:szCs w:val="24"/>
          <w:lang w:val="en-GB"/>
        </w:rPr>
        <w:t>julio</w:t>
      </w:r>
      <w:proofErr w:type="spellEnd"/>
      <w:r w:rsidRPr="00F915A7">
        <w:rPr>
          <w:color w:val="000000"/>
          <w:sz w:val="24"/>
          <w:szCs w:val="24"/>
          <w:lang w:val="en-GB"/>
        </w:rPr>
        <w:t xml:space="preserve"> 24). Netflix Subscribers Statistics 2025 (Growth &amp; Demographics). </w:t>
      </w:r>
      <w:proofErr w:type="spellStart"/>
      <w:r w:rsidRPr="00F915A7">
        <w:rPr>
          <w:i/>
          <w:iCs/>
          <w:color w:val="000000"/>
          <w:sz w:val="24"/>
          <w:szCs w:val="24"/>
          <w:lang w:val="en-GB"/>
        </w:rPr>
        <w:t>DemandSage</w:t>
      </w:r>
      <w:proofErr w:type="spellEnd"/>
      <w:r w:rsidRPr="00F915A7">
        <w:rPr>
          <w:color w:val="000000"/>
          <w:sz w:val="24"/>
          <w:szCs w:val="24"/>
          <w:lang w:val="en-GB"/>
        </w:rPr>
        <w:t xml:space="preserve">. </w:t>
      </w:r>
      <w:hyperlink r:id="rId59">
        <w:r w:rsidRPr="00F915A7">
          <w:rPr>
            <w:color w:val="1155CC"/>
            <w:sz w:val="24"/>
            <w:szCs w:val="24"/>
            <w:u w:val="single"/>
            <w:lang w:val="en-GB"/>
          </w:rPr>
          <w:t>https://www.demandsage.com/netflix-subscribers/</w:t>
        </w:r>
      </w:hyperlink>
      <w:r w:rsidRPr="00F915A7">
        <w:rPr>
          <w:color w:val="000000"/>
          <w:sz w:val="24"/>
          <w:szCs w:val="24"/>
          <w:lang w:val="en-GB"/>
        </w:rPr>
        <w:t>  </w:t>
      </w:r>
    </w:p>
    <w:p w14:paraId="17A69D2C"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sidRPr="00F915A7">
        <w:rPr>
          <w:color w:val="000000"/>
          <w:sz w:val="24"/>
          <w:szCs w:val="24"/>
          <w:lang w:val="en-GB"/>
        </w:rPr>
        <w:t>Srnicek, N. (2017). The challenges of platform capitalism: Understanding the logic of a new business model.</w:t>
      </w:r>
    </w:p>
    <w:p w14:paraId="6DE86AF0"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sidRPr="00F915A7">
        <w:rPr>
          <w:i/>
          <w:iCs/>
          <w:color w:val="000000"/>
          <w:sz w:val="24"/>
          <w:szCs w:val="24"/>
          <w:lang w:val="en-GB"/>
        </w:rPr>
        <w:t>Juncture, 23</w:t>
      </w:r>
      <w:r w:rsidRPr="00F915A7">
        <w:rPr>
          <w:color w:val="000000"/>
          <w:sz w:val="24"/>
          <w:szCs w:val="24"/>
          <w:lang w:val="en-GB"/>
        </w:rPr>
        <w:t>(4), 254-257.</w:t>
      </w:r>
      <w:hyperlink r:id="rId60">
        <w:r w:rsidRPr="00F915A7">
          <w:rPr>
            <w:color w:val="000000"/>
            <w:sz w:val="24"/>
            <w:szCs w:val="24"/>
            <w:u w:val="single"/>
            <w:lang w:val="en-GB"/>
          </w:rPr>
          <w:t xml:space="preserve"> </w:t>
        </w:r>
      </w:hyperlink>
      <w:hyperlink r:id="rId61">
        <w:r w:rsidRPr="00F915A7">
          <w:rPr>
            <w:color w:val="1155CC"/>
            <w:sz w:val="24"/>
            <w:szCs w:val="24"/>
            <w:u w:val="single"/>
            <w:lang w:val="en-GB"/>
          </w:rPr>
          <w:t>https://doi.org/10.1111/newe.12023</w:t>
        </w:r>
      </w:hyperlink>
    </w:p>
    <w:p w14:paraId="085B5DBF"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sidRPr="00F915A7">
        <w:rPr>
          <w:color w:val="000000"/>
          <w:sz w:val="24"/>
          <w:szCs w:val="24"/>
          <w:lang w:val="en-GB"/>
        </w:rPr>
        <w:t xml:space="preserve">Statista. (2025). Netflix advertising revenue worldwide 2024–2025. </w:t>
      </w:r>
      <w:hyperlink r:id="rId62">
        <w:r w:rsidRPr="00F915A7">
          <w:rPr>
            <w:color w:val="1155CC"/>
            <w:sz w:val="24"/>
            <w:szCs w:val="24"/>
            <w:u w:val="single"/>
            <w:lang w:val="en-GB"/>
          </w:rPr>
          <w:t>https://www.statista.com</w:t>
        </w:r>
      </w:hyperlink>
      <w:r w:rsidRPr="00F915A7">
        <w:rPr>
          <w:color w:val="000000"/>
          <w:sz w:val="24"/>
          <w:szCs w:val="24"/>
          <w:lang w:val="en-GB"/>
        </w:rPr>
        <w:t> </w:t>
      </w:r>
    </w:p>
    <w:p w14:paraId="342812DF"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sidRPr="00F915A7">
        <w:rPr>
          <w:color w:val="000000"/>
          <w:sz w:val="24"/>
          <w:szCs w:val="24"/>
          <w:lang w:val="en-GB"/>
        </w:rPr>
        <w:t xml:space="preserve">The Competitive Intelligence Unit (The CIU). (2020, </w:t>
      </w:r>
      <w:proofErr w:type="spellStart"/>
      <w:r w:rsidRPr="00F915A7">
        <w:rPr>
          <w:color w:val="000000"/>
          <w:sz w:val="24"/>
          <w:szCs w:val="24"/>
          <w:lang w:val="en-GB"/>
        </w:rPr>
        <w:t>julio</w:t>
      </w:r>
      <w:proofErr w:type="spellEnd"/>
      <w:r w:rsidRPr="00F915A7">
        <w:rPr>
          <w:color w:val="000000"/>
          <w:sz w:val="24"/>
          <w:szCs w:val="24"/>
          <w:lang w:val="en-GB"/>
        </w:rPr>
        <w:t xml:space="preserve"> 13). </w:t>
      </w:r>
      <w:proofErr w:type="spellStart"/>
      <w:r w:rsidRPr="00F915A7">
        <w:rPr>
          <w:color w:val="000000"/>
          <w:sz w:val="24"/>
          <w:szCs w:val="24"/>
          <w:lang w:val="en-GB"/>
        </w:rPr>
        <w:t>Modelos</w:t>
      </w:r>
      <w:proofErr w:type="spellEnd"/>
      <w:r w:rsidRPr="00F915A7">
        <w:rPr>
          <w:color w:val="000000"/>
          <w:sz w:val="24"/>
          <w:szCs w:val="24"/>
          <w:lang w:val="en-GB"/>
        </w:rPr>
        <w:t xml:space="preserve"> de </w:t>
      </w:r>
      <w:proofErr w:type="spellStart"/>
      <w:r w:rsidRPr="00F915A7">
        <w:rPr>
          <w:color w:val="000000"/>
          <w:sz w:val="24"/>
          <w:szCs w:val="24"/>
          <w:lang w:val="en-GB"/>
        </w:rPr>
        <w:t>negocio</w:t>
      </w:r>
      <w:proofErr w:type="spellEnd"/>
      <w:r w:rsidRPr="00F915A7">
        <w:rPr>
          <w:color w:val="000000"/>
          <w:sz w:val="24"/>
          <w:szCs w:val="24"/>
          <w:lang w:val="en-GB"/>
        </w:rPr>
        <w:t xml:space="preserve"> de </w:t>
      </w:r>
      <w:proofErr w:type="spellStart"/>
      <w:r w:rsidRPr="00F915A7">
        <w:rPr>
          <w:color w:val="000000"/>
          <w:sz w:val="24"/>
          <w:szCs w:val="24"/>
          <w:lang w:val="en-GB"/>
        </w:rPr>
        <w:t>plataformas</w:t>
      </w:r>
      <w:proofErr w:type="spellEnd"/>
      <w:r w:rsidRPr="00F915A7">
        <w:rPr>
          <w:color w:val="000000"/>
          <w:sz w:val="24"/>
          <w:szCs w:val="24"/>
          <w:lang w:val="en-GB"/>
        </w:rPr>
        <w:t xml:space="preserve"> de streaming. </w:t>
      </w:r>
      <w:hyperlink r:id="rId63">
        <w:r w:rsidRPr="00F915A7">
          <w:rPr>
            <w:color w:val="0000FF"/>
            <w:sz w:val="24"/>
            <w:szCs w:val="24"/>
            <w:u w:val="single"/>
            <w:lang w:val="en-GB"/>
          </w:rPr>
          <w:t>https://www.theciu.com/publicaciones-2/2020/7/13/modelos-de-negocio-de-plataformas-de-streaming</w:t>
        </w:r>
      </w:hyperlink>
    </w:p>
    <w:p w14:paraId="0068CE7B" w14:textId="77777777" w:rsidR="00466A15" w:rsidRPr="00F915A7" w:rsidRDefault="00000000">
      <w:pPr>
        <w:widowControl/>
        <w:pBdr>
          <w:top w:val="nil"/>
          <w:left w:val="nil"/>
          <w:bottom w:val="nil"/>
          <w:right w:val="nil"/>
          <w:between w:val="nil"/>
        </w:pBdr>
        <w:spacing w:before="240" w:after="240"/>
        <w:ind w:left="283"/>
        <w:jc w:val="both"/>
        <w:rPr>
          <w:color w:val="000000"/>
          <w:sz w:val="24"/>
          <w:szCs w:val="24"/>
          <w:lang w:val="en-GB"/>
        </w:rPr>
      </w:pPr>
      <w:r w:rsidRPr="00F915A7">
        <w:rPr>
          <w:color w:val="000000"/>
          <w:sz w:val="24"/>
          <w:szCs w:val="24"/>
          <w:lang w:val="en-GB"/>
        </w:rPr>
        <w:t xml:space="preserve">The Walt Disney Company. (2025). Q2 FY2025 Earnings. </w:t>
      </w:r>
      <w:hyperlink r:id="rId64">
        <w:r w:rsidRPr="00F915A7">
          <w:rPr>
            <w:color w:val="1155CC"/>
            <w:sz w:val="24"/>
            <w:szCs w:val="24"/>
            <w:u w:val="single"/>
            <w:lang w:val="en-GB"/>
          </w:rPr>
          <w:t>https://www.thewaltdisneycompany.com/investor-relations</w:t>
        </w:r>
      </w:hyperlink>
    </w:p>
    <w:p w14:paraId="4FC5F383"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sidRPr="00F915A7">
        <w:rPr>
          <w:color w:val="000000"/>
          <w:sz w:val="24"/>
          <w:szCs w:val="24"/>
          <w:lang w:val="en-GB"/>
        </w:rPr>
        <w:lastRenderedPageBreak/>
        <w:t xml:space="preserve">The Walt Disney Company. (2025, 7 mayo). The Walt Disney Company reports second-quarter earnings for fiscal 2025. </w:t>
      </w:r>
      <w:hyperlink r:id="rId65">
        <w:r>
          <w:rPr>
            <w:color w:val="1155CC"/>
            <w:sz w:val="24"/>
            <w:szCs w:val="24"/>
            <w:u w:val="single"/>
          </w:rPr>
          <w:t>https://thewaltdisneycompany.com/the-walt-disney-company-reports-second-quarter-earnings-for-fiscal-2025</w:t>
        </w:r>
      </w:hyperlink>
      <w:hyperlink r:id="rId66">
        <w:r>
          <w:rPr>
            <w:color w:val="1155CC"/>
            <w:sz w:val="24"/>
            <w:szCs w:val="24"/>
            <w:u w:val="single"/>
            <w:shd w:val="clear" w:color="auto" w:fill="FAFAFA"/>
          </w:rPr>
          <w:t>/</w:t>
        </w:r>
      </w:hyperlink>
      <w:r>
        <w:rPr>
          <w:color w:val="000000"/>
          <w:sz w:val="24"/>
          <w:szCs w:val="24"/>
        </w:rPr>
        <w:t> </w:t>
      </w:r>
    </w:p>
    <w:p w14:paraId="781BD695" w14:textId="77777777" w:rsidR="00466A15" w:rsidRDefault="00000000">
      <w:pPr>
        <w:widowControl/>
        <w:pBdr>
          <w:top w:val="nil"/>
          <w:left w:val="nil"/>
          <w:bottom w:val="nil"/>
          <w:right w:val="nil"/>
          <w:between w:val="nil"/>
        </w:pBdr>
        <w:spacing w:before="240" w:after="240"/>
        <w:ind w:left="283"/>
        <w:jc w:val="both"/>
        <w:rPr>
          <w:color w:val="000000"/>
          <w:sz w:val="24"/>
          <w:szCs w:val="24"/>
        </w:rPr>
      </w:pPr>
      <w:proofErr w:type="spellStart"/>
      <w:r w:rsidRPr="00F915A7">
        <w:rPr>
          <w:color w:val="000000"/>
          <w:sz w:val="24"/>
          <w:szCs w:val="24"/>
          <w:lang w:val="en-GB"/>
        </w:rPr>
        <w:t>ThinkBRG</w:t>
      </w:r>
      <w:proofErr w:type="spellEnd"/>
      <w:r w:rsidRPr="00F915A7">
        <w:rPr>
          <w:color w:val="000000"/>
          <w:sz w:val="24"/>
          <w:szCs w:val="24"/>
          <w:lang w:val="en-GB"/>
        </w:rPr>
        <w:t xml:space="preserve">. (2024, </w:t>
      </w:r>
      <w:proofErr w:type="spellStart"/>
      <w:r w:rsidRPr="00F915A7">
        <w:rPr>
          <w:color w:val="000000"/>
          <w:sz w:val="24"/>
          <w:szCs w:val="24"/>
          <w:lang w:val="en-GB"/>
        </w:rPr>
        <w:t>octubre</w:t>
      </w:r>
      <w:proofErr w:type="spellEnd"/>
      <w:r w:rsidRPr="00F915A7">
        <w:rPr>
          <w:color w:val="000000"/>
          <w:sz w:val="24"/>
          <w:szCs w:val="24"/>
          <w:lang w:val="en-GB"/>
        </w:rPr>
        <w:t xml:space="preserve">). Combating subscription fatigue: A data-driven approach for streamers. </w:t>
      </w:r>
      <w:hyperlink r:id="rId67">
        <w:r>
          <w:rPr>
            <w:color w:val="1155CC"/>
            <w:sz w:val="24"/>
            <w:szCs w:val="24"/>
            <w:u w:val="single"/>
          </w:rPr>
          <w:t>https://media.thinkbrg.com/wp-content/uploads/2024/10/23152459/CF_Subscription-Fatigue-Streamers_October2024.pdf</w:t>
        </w:r>
      </w:hyperlink>
      <w:r>
        <w:rPr>
          <w:color w:val="000000"/>
          <w:sz w:val="24"/>
          <w:szCs w:val="24"/>
        </w:rPr>
        <w:t> </w:t>
      </w:r>
    </w:p>
    <w:p w14:paraId="5F04133B" w14:textId="77777777" w:rsidR="00466A15" w:rsidRDefault="00000000">
      <w:pPr>
        <w:widowControl/>
        <w:pBdr>
          <w:top w:val="nil"/>
          <w:left w:val="nil"/>
          <w:bottom w:val="nil"/>
          <w:right w:val="nil"/>
          <w:between w:val="nil"/>
        </w:pBdr>
        <w:spacing w:before="240" w:after="240"/>
        <w:ind w:left="283"/>
        <w:jc w:val="both"/>
        <w:rPr>
          <w:color w:val="000000"/>
          <w:sz w:val="24"/>
          <w:szCs w:val="24"/>
        </w:rPr>
      </w:pPr>
      <w:r w:rsidRPr="00F915A7">
        <w:rPr>
          <w:color w:val="000000"/>
          <w:sz w:val="24"/>
          <w:szCs w:val="24"/>
          <w:lang w:val="en-GB"/>
        </w:rPr>
        <w:t xml:space="preserve">Warner Bros. Discovery. (2025). Q1 2025 Results. </w:t>
      </w:r>
      <w:hyperlink r:id="rId68">
        <w:r>
          <w:rPr>
            <w:color w:val="1155CC"/>
            <w:sz w:val="24"/>
            <w:szCs w:val="24"/>
            <w:u w:val="single"/>
          </w:rPr>
          <w:t>https://ir.wbd.com</w:t>
        </w:r>
      </w:hyperlink>
      <w:r>
        <w:rPr>
          <w:color w:val="000000"/>
          <w:sz w:val="24"/>
          <w:szCs w:val="24"/>
        </w:rPr>
        <w:t> </w:t>
      </w:r>
    </w:p>
    <w:p w14:paraId="3A629713" w14:textId="77777777" w:rsidR="00466A15" w:rsidRDefault="00466A15">
      <w:pPr>
        <w:widowControl/>
        <w:pBdr>
          <w:top w:val="nil"/>
          <w:left w:val="nil"/>
          <w:bottom w:val="nil"/>
          <w:right w:val="nil"/>
          <w:between w:val="nil"/>
        </w:pBdr>
        <w:spacing w:after="80"/>
        <w:rPr>
          <w:sz w:val="29"/>
          <w:szCs w:val="29"/>
        </w:rPr>
      </w:pPr>
      <w:bookmarkStart w:id="7" w:name="_heading=h.rbuu13hk251t" w:colFirst="0" w:colLast="0"/>
      <w:bookmarkEnd w:id="7"/>
    </w:p>
    <w:p w14:paraId="734A892B" w14:textId="77777777" w:rsidR="00466A15" w:rsidRDefault="00000000">
      <w:pPr>
        <w:widowControl/>
        <w:pBdr>
          <w:top w:val="nil"/>
          <w:left w:val="nil"/>
          <w:bottom w:val="nil"/>
          <w:right w:val="nil"/>
          <w:between w:val="nil"/>
        </w:pBdr>
        <w:spacing w:after="80"/>
        <w:ind w:left="2883"/>
        <w:rPr>
          <w:color w:val="000000"/>
          <w:sz w:val="20"/>
          <w:szCs w:val="20"/>
        </w:rPr>
      </w:pPr>
      <w:r>
        <w:rPr>
          <w:noProof/>
          <w:color w:val="000000"/>
          <w:sz w:val="20"/>
          <w:szCs w:val="20"/>
        </w:rPr>
        <w:drawing>
          <wp:inline distT="0" distB="0" distL="0" distR="0" wp14:anchorId="03103EBE" wp14:editId="2143B799">
            <wp:extent cx="1137272" cy="400050"/>
            <wp:effectExtent l="0" t="0" r="0" b="0"/>
            <wp:docPr id="2090919771" name="image2.jpg" descr="Description: Macintosh HD:Users:Daniel:Desktop:licenciacc1.png"/>
            <wp:cNvGraphicFramePr/>
            <a:graphic xmlns:a="http://schemas.openxmlformats.org/drawingml/2006/main">
              <a:graphicData uri="http://schemas.openxmlformats.org/drawingml/2006/picture">
                <pic:pic xmlns:pic="http://schemas.openxmlformats.org/drawingml/2006/picture">
                  <pic:nvPicPr>
                    <pic:cNvPr id="0" name="image2.jpg" descr="Description: Macintosh HD:Users:Daniel:Desktop:licenciacc1.png"/>
                    <pic:cNvPicPr preferRelativeResize="0"/>
                  </pic:nvPicPr>
                  <pic:blipFill>
                    <a:blip r:embed="rId69"/>
                    <a:srcRect/>
                    <a:stretch>
                      <a:fillRect/>
                    </a:stretch>
                  </pic:blipFill>
                  <pic:spPr>
                    <a:xfrm>
                      <a:off x="0" y="0"/>
                      <a:ext cx="1137272" cy="400050"/>
                    </a:xfrm>
                    <a:prstGeom prst="rect">
                      <a:avLst/>
                    </a:prstGeom>
                    <a:ln/>
                  </pic:spPr>
                </pic:pic>
              </a:graphicData>
            </a:graphic>
          </wp:inline>
        </w:drawing>
      </w:r>
    </w:p>
    <w:p w14:paraId="0D7D2B96" w14:textId="77777777" w:rsidR="00466A15" w:rsidRPr="00F915A7" w:rsidRDefault="00000000">
      <w:pPr>
        <w:widowControl/>
        <w:pBdr>
          <w:top w:val="nil"/>
          <w:left w:val="nil"/>
          <w:bottom w:val="nil"/>
          <w:right w:val="nil"/>
          <w:between w:val="nil"/>
        </w:pBdr>
        <w:spacing w:after="80"/>
        <w:ind w:left="647" w:right="684"/>
        <w:jc w:val="center"/>
        <w:rPr>
          <w:color w:val="000000"/>
          <w:sz w:val="18"/>
          <w:szCs w:val="18"/>
          <w:lang w:val="en-GB"/>
        </w:rPr>
      </w:pPr>
      <w:proofErr w:type="spellStart"/>
      <w:r w:rsidRPr="00F915A7">
        <w:rPr>
          <w:color w:val="231F20"/>
          <w:sz w:val="18"/>
          <w:szCs w:val="18"/>
          <w:lang w:val="en-GB"/>
        </w:rPr>
        <w:t>Licencia</w:t>
      </w:r>
      <w:proofErr w:type="spellEnd"/>
      <w:r w:rsidRPr="00F915A7">
        <w:rPr>
          <w:color w:val="231F20"/>
          <w:sz w:val="18"/>
          <w:szCs w:val="18"/>
          <w:lang w:val="en-GB"/>
        </w:rPr>
        <w:t xml:space="preserve"> Creative Commons</w:t>
      </w:r>
    </w:p>
    <w:p w14:paraId="15FDE1CD" w14:textId="77777777" w:rsidR="00466A15" w:rsidRPr="00F915A7" w:rsidRDefault="00000000">
      <w:pPr>
        <w:widowControl/>
        <w:pBdr>
          <w:top w:val="nil"/>
          <w:left w:val="nil"/>
          <w:bottom w:val="nil"/>
          <w:right w:val="nil"/>
          <w:between w:val="nil"/>
        </w:pBdr>
        <w:spacing w:after="80" w:line="285" w:lineRule="auto"/>
        <w:ind w:left="2270" w:right="2309"/>
        <w:jc w:val="center"/>
        <w:rPr>
          <w:color w:val="000000"/>
          <w:sz w:val="18"/>
          <w:szCs w:val="18"/>
          <w:lang w:val="en-GB"/>
        </w:rPr>
      </w:pPr>
      <w:r w:rsidRPr="00F915A7">
        <w:rPr>
          <w:color w:val="231F20"/>
          <w:sz w:val="18"/>
          <w:szCs w:val="18"/>
          <w:lang w:val="en-GB"/>
        </w:rPr>
        <w:t>Miguel Hernández Communication Journal mhjournal.org</w:t>
      </w:r>
    </w:p>
    <w:p w14:paraId="47CC33D0" w14:textId="77777777" w:rsidR="00466A15" w:rsidRPr="00F915A7" w:rsidRDefault="00466A15">
      <w:pPr>
        <w:widowControl/>
        <w:pBdr>
          <w:top w:val="nil"/>
          <w:left w:val="nil"/>
          <w:bottom w:val="nil"/>
          <w:right w:val="nil"/>
          <w:between w:val="nil"/>
        </w:pBdr>
        <w:spacing w:after="80"/>
        <w:rPr>
          <w:color w:val="000000"/>
          <w:sz w:val="20"/>
          <w:szCs w:val="20"/>
          <w:lang w:val="en-GB"/>
        </w:rPr>
      </w:pPr>
    </w:p>
    <w:p w14:paraId="7FEC9131" w14:textId="77777777" w:rsidR="00466A15" w:rsidRPr="00F915A7" w:rsidRDefault="00466A15">
      <w:pPr>
        <w:widowControl/>
        <w:pBdr>
          <w:top w:val="nil"/>
          <w:left w:val="nil"/>
          <w:bottom w:val="nil"/>
          <w:right w:val="nil"/>
          <w:between w:val="nil"/>
        </w:pBdr>
        <w:spacing w:after="80"/>
        <w:rPr>
          <w:color w:val="000000"/>
          <w:sz w:val="20"/>
          <w:szCs w:val="20"/>
          <w:lang w:val="en-GB"/>
        </w:rPr>
      </w:pPr>
    </w:p>
    <w:p w14:paraId="318B14D0" w14:textId="77777777" w:rsidR="00466A15" w:rsidRPr="00F915A7" w:rsidRDefault="00466A15">
      <w:pPr>
        <w:widowControl/>
        <w:pBdr>
          <w:top w:val="nil"/>
          <w:left w:val="nil"/>
          <w:bottom w:val="nil"/>
          <w:right w:val="nil"/>
          <w:between w:val="nil"/>
        </w:pBdr>
        <w:spacing w:after="80" w:line="285" w:lineRule="auto"/>
        <w:ind w:left="638" w:right="675"/>
        <w:jc w:val="both"/>
        <w:rPr>
          <w:color w:val="000000"/>
          <w:sz w:val="18"/>
          <w:szCs w:val="18"/>
          <w:lang w:val="en-GB"/>
        </w:rPr>
      </w:pPr>
    </w:p>
    <w:sectPr w:rsidR="00466A15" w:rsidRPr="00F915A7">
      <w:headerReference w:type="default" r:id="rId70"/>
      <w:footerReference w:type="default" r:id="rId71"/>
      <w:pgSz w:w="9640" w:h="13610"/>
      <w:pgMar w:top="1480" w:right="1000" w:bottom="1120" w:left="1040" w:header="1148" w:footer="9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DBE1E" w14:textId="77777777" w:rsidR="007B440F" w:rsidRDefault="007B440F">
      <w:r>
        <w:separator/>
      </w:r>
    </w:p>
  </w:endnote>
  <w:endnote w:type="continuationSeparator" w:id="0">
    <w:p w14:paraId="25DE0C25" w14:textId="77777777" w:rsidR="007B440F" w:rsidRDefault="007B4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500B0EE4-0750-4ADB-A289-86B6F27C31DE}"/>
    <w:embedBold r:id="rId2" w:fontKey="{3902DF90-8CBF-43A3-8A61-1E884323EE13}"/>
    <w:embedItalic r:id="rId3" w:fontKey="{ACF4EC04-930A-4BED-86E6-0210ACE96E8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4" w:fontKey="{5354230A-CC69-4716-95C9-DBF5333948A9}"/>
  </w:font>
  <w:font w:name="Georgia">
    <w:panose1 w:val="02040502050405020303"/>
    <w:charset w:val="00"/>
    <w:family w:val="roman"/>
    <w:pitch w:val="variable"/>
    <w:sig w:usb0="00000287" w:usb1="00000000" w:usb2="00000000" w:usb3="00000000" w:csb0="0000009F" w:csb1="00000000"/>
    <w:embedItalic r:id="rId5" w:fontKey="{6EA0ECA8-D4B0-409C-8307-2A86F00B199A}"/>
  </w:font>
  <w:font w:name="EB Garamond">
    <w:charset w:val="00"/>
    <w:family w:val="auto"/>
    <w:pitch w:val="default"/>
    <w:embedRegular r:id="rId6" w:fontKey="{864E6787-5D42-43E9-B23A-9322D79C28C2}"/>
  </w:font>
  <w:font w:name="Arial Narrow">
    <w:panose1 w:val="020B0606020202030204"/>
    <w:charset w:val="00"/>
    <w:family w:val="swiss"/>
    <w:pitch w:val="variable"/>
    <w:sig w:usb0="00000287" w:usb1="00000800" w:usb2="00000000" w:usb3="00000000" w:csb0="0000009F" w:csb1="00000000"/>
    <w:embedRegular r:id="rId7" w:fontKey="{949059A6-9116-438E-8818-0A51026E475D}"/>
  </w:font>
  <w:font w:name="Cambria">
    <w:panose1 w:val="02040503050406030204"/>
    <w:charset w:val="00"/>
    <w:family w:val="roman"/>
    <w:pitch w:val="variable"/>
    <w:sig w:usb0="E00006FF" w:usb1="420024FF" w:usb2="02000000" w:usb3="00000000" w:csb0="0000019F" w:csb1="00000000"/>
    <w:embedRegular r:id="rId8" w:fontKey="{D4893ABE-85E0-4E86-9E3F-05B845E753C3}"/>
  </w:font>
  <w:font w:name="Calibri">
    <w:panose1 w:val="020F0502020204030204"/>
    <w:charset w:val="00"/>
    <w:family w:val="swiss"/>
    <w:pitch w:val="variable"/>
    <w:sig w:usb0="E4002EFF" w:usb1="C000247B" w:usb2="00000009" w:usb3="00000000" w:csb0="000001FF" w:csb1="00000000"/>
    <w:embedRegular r:id="rId9" w:fontKey="{2E68A587-B6CC-4D0A-8613-3F90F3D2F3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EFFC" w14:textId="77777777" w:rsidR="00466A15" w:rsidRDefault="00466A15">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26B7" w14:textId="77777777" w:rsidR="00466A15"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5552695C" wp14:editId="55A0DE83">
              <wp:simplePos x="0" y="0"/>
              <wp:positionH relativeFrom="column">
                <wp:posOffset>2178050</wp:posOffset>
              </wp:positionH>
              <wp:positionV relativeFrom="paragraph">
                <wp:posOffset>7912100</wp:posOffset>
              </wp:positionV>
              <wp:extent cx="0" cy="12700"/>
              <wp:effectExtent l="0" t="0" r="0" b="0"/>
              <wp:wrapNone/>
              <wp:docPr id="2090919765" name="Conector recto de flecha 2090919765"/>
              <wp:cNvGraphicFramePr/>
              <a:graphic xmlns:a="http://schemas.openxmlformats.org/drawingml/2006/main">
                <a:graphicData uri="http://schemas.microsoft.com/office/word/2010/wordprocessingShape">
                  <wps:wsp>
                    <wps:cNvCnPr/>
                    <wps:spPr>
                      <a:xfrm>
                        <a:off x="5132958" y="3780000"/>
                        <a:ext cx="426085" cy="0"/>
                      </a:xfrm>
                      <a:prstGeom prst="straightConnector1">
                        <a:avLst/>
                      </a:prstGeom>
                      <a:noFill/>
                      <a:ln w="9525" cap="flat" cmpd="sng">
                        <a:solidFill>
                          <a:srgbClr val="80808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2178050</wp:posOffset>
              </wp:positionH>
              <wp:positionV relativeFrom="paragraph">
                <wp:posOffset>7912100</wp:posOffset>
              </wp:positionV>
              <wp:extent cx="0" cy="12700"/>
              <wp:effectExtent b="0" l="0" r="0" t="0"/>
              <wp:wrapNone/>
              <wp:docPr id="2090919765"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17853D9B" wp14:editId="6D991A01">
              <wp:simplePos x="0" y="0"/>
              <wp:positionH relativeFrom="column">
                <wp:posOffset>2268538</wp:posOffset>
              </wp:positionH>
              <wp:positionV relativeFrom="paragraph">
                <wp:posOffset>7894638</wp:posOffset>
              </wp:positionV>
              <wp:extent cx="254635" cy="250190"/>
              <wp:effectExtent l="0" t="0" r="0" b="0"/>
              <wp:wrapNone/>
              <wp:docPr id="2090919763" name="Rectángulo 2090919763"/>
              <wp:cNvGraphicFramePr/>
              <a:graphic xmlns:a="http://schemas.openxmlformats.org/drawingml/2006/main">
                <a:graphicData uri="http://schemas.microsoft.com/office/word/2010/wordprocessingShape">
                  <wps:wsp>
                    <wps:cNvSpPr/>
                    <wps:spPr>
                      <a:xfrm>
                        <a:off x="5228208" y="3664430"/>
                        <a:ext cx="235585" cy="231140"/>
                      </a:xfrm>
                      <a:prstGeom prst="rect">
                        <a:avLst/>
                      </a:prstGeom>
                      <a:noFill/>
                      <a:ln>
                        <a:noFill/>
                      </a:ln>
                    </wps:spPr>
                    <wps:txbx>
                      <w:txbxContent>
                        <w:p w14:paraId="77D3AFE2" w14:textId="77777777" w:rsidR="00466A15" w:rsidRDefault="00000000">
                          <w:pPr>
                            <w:spacing w:before="20"/>
                            <w:ind w:left="60" w:firstLine="120"/>
                            <w:textDirection w:val="btLr"/>
                          </w:pPr>
                          <w:r>
                            <w:rPr>
                              <w:rFonts w:ascii="EB Garamond" w:eastAsia="EB Garamond" w:hAnsi="EB Garamond" w:cs="EB Garamond"/>
                              <w:color w:val="D49988"/>
                              <w:sz w:val="24"/>
                            </w:rPr>
                            <w:t xml:space="preserve"> PAGE 5</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2268538</wp:posOffset>
              </wp:positionH>
              <wp:positionV relativeFrom="paragraph">
                <wp:posOffset>7894638</wp:posOffset>
              </wp:positionV>
              <wp:extent cx="254635" cy="250190"/>
              <wp:effectExtent b="0" l="0" r="0" t="0"/>
              <wp:wrapNone/>
              <wp:docPr id="209091976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254635" cy="2501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6CA19" w14:textId="77777777" w:rsidR="007B440F" w:rsidRDefault="007B440F">
      <w:r>
        <w:separator/>
      </w:r>
    </w:p>
  </w:footnote>
  <w:footnote w:type="continuationSeparator" w:id="0">
    <w:p w14:paraId="04FE586E" w14:textId="77777777" w:rsidR="007B440F" w:rsidRDefault="007B440F">
      <w:r>
        <w:continuationSeparator/>
      </w:r>
    </w:p>
  </w:footnote>
  <w:footnote w:id="1">
    <w:p w14:paraId="21DD6730" w14:textId="3A970C55" w:rsidR="00750BA0" w:rsidRPr="00750BA0" w:rsidRDefault="00750BA0" w:rsidP="00750BA0">
      <w:pPr>
        <w:pStyle w:val="Textonotapie"/>
        <w:rPr>
          <w:lang w:val="en-GB"/>
        </w:rPr>
      </w:pPr>
      <w:r>
        <w:rPr>
          <w:rStyle w:val="Refdenotaalpie"/>
        </w:rPr>
        <w:footnoteRef/>
      </w:r>
      <w:r w:rsidRPr="00750BA0">
        <w:rPr>
          <w:lang w:val="en-GB"/>
        </w:rPr>
        <w:t xml:space="preserve"> </w:t>
      </w:r>
      <w:r w:rsidRPr="00750BA0">
        <w:rPr>
          <w:lang w:val="en-GB"/>
        </w:rPr>
        <w:t>Warner Bros. Discovery has announced the revival of the HBO Max brand, with the</w:t>
      </w:r>
      <w:r>
        <w:rPr>
          <w:lang w:val="en-GB"/>
        </w:rPr>
        <w:t xml:space="preserve"> </w:t>
      </w:r>
      <w:r w:rsidRPr="00750BA0">
        <w:rPr>
          <w:lang w:val="en-GB"/>
        </w:rPr>
        <w:t>rebranding set to roll out from 9 July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7F96D" w14:textId="77777777" w:rsidR="00466A15" w:rsidRDefault="00000000">
    <w:pPr>
      <w:spacing w:before="20"/>
      <w:ind w:left="20" w:firstLine="20"/>
      <w:rPr>
        <w:color w:val="8E1400"/>
      </w:rPr>
    </w:pPr>
    <w:proofErr w:type="spellStart"/>
    <w:r>
      <w:rPr>
        <w:rFonts w:ascii="EB Garamond" w:eastAsia="EB Garamond" w:hAnsi="EB Garamond" w:cs="EB Garamond"/>
        <w:color w:val="8E1400"/>
        <w:sz w:val="20"/>
        <w:szCs w:val="20"/>
      </w:rPr>
      <w:t>MHJournal</w:t>
    </w:r>
    <w:proofErr w:type="spellEnd"/>
    <w:r>
      <w:rPr>
        <w:rFonts w:ascii="EB Garamond" w:eastAsia="EB Garamond" w:hAnsi="EB Garamond" w:cs="EB Garamond"/>
        <w:color w:val="8E1400"/>
        <w:sz w:val="20"/>
        <w:szCs w:val="20"/>
      </w:rPr>
      <w:t xml:space="preserve"> Vol. 17 (1) | Año 2026 - Artículo </w:t>
    </w:r>
    <w:proofErr w:type="spellStart"/>
    <w:r>
      <w:rPr>
        <w:rFonts w:ascii="EB Garamond" w:eastAsia="EB Garamond" w:hAnsi="EB Garamond" w:cs="EB Garamond"/>
        <w:color w:val="8E1400"/>
        <w:sz w:val="20"/>
        <w:szCs w:val="20"/>
      </w:rPr>
      <w:t>nº</w:t>
    </w:r>
    <w:proofErr w:type="spellEnd"/>
    <w:r>
      <w:rPr>
        <w:rFonts w:ascii="EB Garamond" w:eastAsia="EB Garamond" w:hAnsi="EB Garamond" w:cs="EB Garamond"/>
        <w:color w:val="8E1400"/>
        <w:sz w:val="20"/>
        <w:szCs w:val="20"/>
      </w:rPr>
      <w:t xml:space="preserve"> 7 (285) - Páginas 141 a 169 - mhjournal.org</w:t>
    </w:r>
  </w:p>
  <w:p w14:paraId="3E58C328" w14:textId="77777777" w:rsidR="00466A15" w:rsidRDefault="00466A15">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76B4C" w14:textId="77777777" w:rsidR="00466A15" w:rsidRDefault="00000000">
    <w:pPr>
      <w:pBdr>
        <w:top w:val="nil"/>
        <w:left w:val="nil"/>
        <w:bottom w:val="nil"/>
        <w:right w:val="nil"/>
        <w:between w:val="nil"/>
      </w:pBdr>
      <w:spacing w:line="14" w:lineRule="auto"/>
      <w:rPr>
        <w:color w:val="000000"/>
        <w:sz w:val="20"/>
        <w:szCs w:val="20"/>
      </w:rPr>
    </w:pPr>
    <w:r>
      <w:rPr>
        <w:noProof/>
        <w:color w:val="000000"/>
        <w:sz w:val="18"/>
        <w:szCs w:val="18"/>
      </w:rPr>
      <mc:AlternateContent>
        <mc:Choice Requires="wpg">
          <w:drawing>
            <wp:anchor distT="0" distB="0" distL="0" distR="0" simplePos="0" relativeHeight="251658240" behindDoc="1" locked="0" layoutInCell="1" hidden="0" allowOverlap="1" wp14:anchorId="7EF35A6F" wp14:editId="58E1464A">
              <wp:simplePos x="0" y="0"/>
              <wp:positionH relativeFrom="page">
                <wp:posOffset>783591</wp:posOffset>
              </wp:positionH>
              <wp:positionV relativeFrom="page">
                <wp:posOffset>706756</wp:posOffset>
              </wp:positionV>
              <wp:extent cx="4552950" cy="215900"/>
              <wp:effectExtent l="0" t="0" r="0" b="0"/>
              <wp:wrapNone/>
              <wp:docPr id="2090919766" name="Rectángulo 2090919766"/>
              <wp:cNvGraphicFramePr/>
              <a:graphic xmlns:a="http://schemas.openxmlformats.org/drawingml/2006/main">
                <a:graphicData uri="http://schemas.microsoft.com/office/word/2010/wordprocessingShape">
                  <wps:wsp>
                    <wps:cNvSpPr/>
                    <wps:spPr>
                      <a:xfrm>
                        <a:off x="3079050" y="3681575"/>
                        <a:ext cx="4533900" cy="196850"/>
                      </a:xfrm>
                      <a:prstGeom prst="rect">
                        <a:avLst/>
                      </a:prstGeom>
                      <a:noFill/>
                      <a:ln>
                        <a:noFill/>
                      </a:ln>
                    </wps:spPr>
                    <wps:txbx>
                      <w:txbxContent>
                        <w:p w14:paraId="53655E8D" w14:textId="77777777" w:rsidR="00466A15" w:rsidRDefault="00000000">
                          <w:pPr>
                            <w:spacing w:before="20"/>
                            <w:ind w:left="20" w:firstLine="40"/>
                            <w:textDirection w:val="btLr"/>
                          </w:pPr>
                          <w:proofErr w:type="spellStart"/>
                          <w:r>
                            <w:rPr>
                              <w:rFonts w:ascii="EB Garamond" w:eastAsia="EB Garamond" w:hAnsi="EB Garamond" w:cs="EB Garamond"/>
                              <w:color w:val="8E1400"/>
                              <w:sz w:val="20"/>
                            </w:rPr>
                            <w:t>MHJournal</w:t>
                          </w:r>
                          <w:proofErr w:type="spellEnd"/>
                          <w:r>
                            <w:rPr>
                              <w:rFonts w:ascii="EB Garamond" w:eastAsia="EB Garamond" w:hAnsi="EB Garamond" w:cs="EB Garamond"/>
                              <w:color w:val="8E1400"/>
                              <w:sz w:val="20"/>
                            </w:rPr>
                            <w:t xml:space="preserve"> Vol. 17 (1) | Año 2026 - Artículo </w:t>
                          </w:r>
                          <w:proofErr w:type="spellStart"/>
                          <w:r>
                            <w:rPr>
                              <w:rFonts w:ascii="EB Garamond" w:eastAsia="EB Garamond" w:hAnsi="EB Garamond" w:cs="EB Garamond"/>
                              <w:color w:val="8E1400"/>
                              <w:sz w:val="20"/>
                            </w:rPr>
                            <w:t>nº</w:t>
                          </w:r>
                          <w:proofErr w:type="spellEnd"/>
                          <w:r>
                            <w:rPr>
                              <w:rFonts w:ascii="EB Garamond" w:eastAsia="EB Garamond" w:hAnsi="EB Garamond" w:cs="EB Garamond"/>
                              <w:color w:val="8E1400"/>
                              <w:sz w:val="20"/>
                            </w:rPr>
                            <w:t xml:space="preserve"> 7 (285) - Páginas 141 a 169 - mhjournal.org</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783591</wp:posOffset>
              </wp:positionH>
              <wp:positionV relativeFrom="page">
                <wp:posOffset>706756</wp:posOffset>
              </wp:positionV>
              <wp:extent cx="4552950" cy="215900"/>
              <wp:effectExtent b="0" l="0" r="0" t="0"/>
              <wp:wrapNone/>
              <wp:docPr id="2090919766"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4552950" cy="2159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A15"/>
    <w:rsid w:val="0018616E"/>
    <w:rsid w:val="00466A15"/>
    <w:rsid w:val="00750BA0"/>
    <w:rsid w:val="007B440F"/>
    <w:rsid w:val="00CA4064"/>
    <w:rsid w:val="00F915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6016E"/>
  <w15:docId w15:val="{9B7F0E28-6C57-45C7-B00D-941198CDD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904"/>
      <w:outlineLvl w:val="0"/>
    </w:pPr>
    <w:rPr>
      <w:rFonts w:ascii="Arial" w:eastAsia="Arial" w:hAnsi="Arial" w:cs="Arial"/>
      <w:sz w:val="24"/>
      <w:szCs w:val="24"/>
    </w:rPr>
  </w:style>
  <w:style w:type="paragraph" w:styleId="Ttulo2">
    <w:name w:val="heading 2"/>
    <w:basedOn w:val="Normal"/>
    <w:next w:val="Normal"/>
    <w:uiPriority w:val="9"/>
    <w:unhideWhenUsed/>
    <w:qFormat/>
    <w:pPr>
      <w:keepNext/>
      <w:keepLines/>
      <w:spacing w:after="80"/>
      <w:ind w:left="426" w:right="370"/>
      <w:jc w:val="both"/>
      <w:outlineLvl w:val="1"/>
    </w:pPr>
    <w:rPr>
      <w:b/>
      <w:bCs/>
      <w:color w:val="9A0203"/>
      <w:sz w:val="28"/>
      <w:szCs w:val="28"/>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117"/>
      <w:ind w:left="638" w:right="736"/>
    </w:pPr>
    <w:rPr>
      <w:sz w:val="32"/>
      <w:szCs w:val="32"/>
    </w:rPr>
  </w:style>
  <w:style w:type="character" w:styleId="Fuerte">
    <w:name w:val="Strong"/>
    <w:basedOn w:val="Fuentedeprrafopredeter"/>
    <w:uiPriority w:val="22"/>
    <w:qFormat/>
    <w:rsid w:val="002E1FD4"/>
    <w:rPr>
      <w:b/>
      <w:bCs/>
    </w:rPr>
  </w:style>
  <w:style w:type="table" w:customStyle="1" w:styleId="TableNormal0">
    <w:name w:val="Table Normal0"/>
    <w:uiPriority w:val="2"/>
    <w:semiHidden/>
    <w:unhideWhenUsed/>
    <w:qFormat/>
    <w:rsid w:val="004021A2"/>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Prrafodelista">
    <w:name w:val="List Paragraph"/>
    <w:basedOn w:val="Normal"/>
    <w:uiPriority w:val="1"/>
    <w:qFormat/>
    <w:pPr>
      <w:ind w:left="638"/>
    </w:pPr>
    <w:rPr>
      <w:rFonts w:ascii="Minion Pro" w:eastAsia="Minion Pro" w:hAnsi="Minion Pro" w:cs="Minion Pro"/>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E0533D"/>
    <w:pPr>
      <w:tabs>
        <w:tab w:val="center" w:pos="4252"/>
        <w:tab w:val="right" w:pos="8504"/>
      </w:tabs>
    </w:pPr>
  </w:style>
  <w:style w:type="character" w:customStyle="1" w:styleId="EncabezadoCar">
    <w:name w:val="Encabezado Car"/>
    <w:basedOn w:val="Fuentedeprrafopredeter"/>
    <w:link w:val="Encabezado"/>
    <w:uiPriority w:val="99"/>
    <w:rsid w:val="00E0533D"/>
    <w:rPr>
      <w:rFonts w:ascii="Garamond" w:eastAsia="Garamond" w:hAnsi="Garamond" w:cs="Garamond"/>
      <w:lang w:val="es-ES"/>
    </w:rPr>
  </w:style>
  <w:style w:type="paragraph" w:styleId="Piedepgina">
    <w:name w:val="footer"/>
    <w:basedOn w:val="Normal"/>
    <w:link w:val="PiedepginaCar"/>
    <w:uiPriority w:val="99"/>
    <w:unhideWhenUsed/>
    <w:rsid w:val="00E0533D"/>
    <w:pPr>
      <w:tabs>
        <w:tab w:val="center" w:pos="4252"/>
        <w:tab w:val="right" w:pos="8504"/>
      </w:tabs>
    </w:pPr>
  </w:style>
  <w:style w:type="character" w:customStyle="1" w:styleId="PiedepginaCar">
    <w:name w:val="Pie de página Car"/>
    <w:basedOn w:val="Fuentedeprrafopredeter"/>
    <w:link w:val="Piedepgina"/>
    <w:uiPriority w:val="99"/>
    <w:rsid w:val="00E0533D"/>
    <w:rPr>
      <w:rFonts w:ascii="Garamond" w:eastAsia="Garamond" w:hAnsi="Garamond" w:cs="Garamond"/>
      <w:lang w:val="es-ES"/>
    </w:rPr>
  </w:style>
  <w:style w:type="character" w:styleId="Hipervnculo">
    <w:name w:val="Hyperlink"/>
    <w:basedOn w:val="Fuentedeprrafopredeter"/>
    <w:uiPriority w:val="99"/>
    <w:unhideWhenUsed/>
    <w:rsid w:val="0005535A"/>
    <w:rPr>
      <w:color w:val="0000FF" w:themeColor="hyperlink"/>
      <w:u w:val="single"/>
    </w:rPr>
  </w:style>
  <w:style w:type="character" w:styleId="Refdecomentario">
    <w:name w:val="annotation reference"/>
    <w:basedOn w:val="Fuentedeprrafopredeter"/>
    <w:uiPriority w:val="99"/>
    <w:semiHidden/>
    <w:unhideWhenUsed/>
    <w:rsid w:val="00A26873"/>
    <w:rPr>
      <w:sz w:val="16"/>
      <w:szCs w:val="16"/>
    </w:rPr>
  </w:style>
  <w:style w:type="paragraph" w:styleId="Textocomentario">
    <w:name w:val="annotation text"/>
    <w:basedOn w:val="Normal"/>
    <w:link w:val="TextocomentarioCar"/>
    <w:uiPriority w:val="99"/>
    <w:semiHidden/>
    <w:unhideWhenUsed/>
    <w:rsid w:val="00A26873"/>
    <w:rPr>
      <w:sz w:val="20"/>
      <w:szCs w:val="20"/>
    </w:rPr>
  </w:style>
  <w:style w:type="character" w:customStyle="1" w:styleId="TextocomentarioCar">
    <w:name w:val="Texto comentario Car"/>
    <w:basedOn w:val="Fuentedeprrafopredeter"/>
    <w:link w:val="Textocomentario"/>
    <w:uiPriority w:val="99"/>
    <w:semiHidden/>
    <w:rsid w:val="00A26873"/>
    <w:rPr>
      <w:rFonts w:ascii="Garamond" w:eastAsia="Garamond" w:hAnsi="Garamond" w:cs="Garamond"/>
      <w:sz w:val="20"/>
      <w:szCs w:val="20"/>
      <w:lang w:val="es-ES"/>
    </w:rPr>
  </w:style>
  <w:style w:type="paragraph" w:styleId="Asuntodelcomentario">
    <w:name w:val="annotation subject"/>
    <w:basedOn w:val="Textocomentario"/>
    <w:next w:val="Textocomentario"/>
    <w:link w:val="AsuntodelcomentarioCar"/>
    <w:uiPriority w:val="99"/>
    <w:semiHidden/>
    <w:unhideWhenUsed/>
    <w:rsid w:val="00A26873"/>
    <w:rPr>
      <w:b/>
      <w:bCs/>
    </w:rPr>
  </w:style>
  <w:style w:type="character" w:customStyle="1" w:styleId="AsuntodelcomentarioCar">
    <w:name w:val="Asunto del comentario Car"/>
    <w:basedOn w:val="TextocomentarioCar"/>
    <w:link w:val="Asuntodelcomentario"/>
    <w:uiPriority w:val="99"/>
    <w:semiHidden/>
    <w:rsid w:val="00A26873"/>
    <w:rPr>
      <w:rFonts w:ascii="Garamond" w:eastAsia="Garamond" w:hAnsi="Garamond" w:cs="Garamond"/>
      <w:b/>
      <w:bCs/>
      <w:sz w:val="20"/>
      <w:szCs w:val="20"/>
      <w:lang w:val="es-ES"/>
    </w:rPr>
  </w:style>
  <w:style w:type="paragraph" w:styleId="Textodeglobo">
    <w:name w:val="Balloon Text"/>
    <w:basedOn w:val="Normal"/>
    <w:link w:val="TextodegloboCar"/>
    <w:uiPriority w:val="99"/>
    <w:semiHidden/>
    <w:unhideWhenUsed/>
    <w:rsid w:val="00A2687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6873"/>
    <w:rPr>
      <w:rFonts w:ascii="Segoe UI" w:eastAsia="Garamond" w:hAnsi="Segoe UI" w:cs="Segoe UI"/>
      <w:sz w:val="18"/>
      <w:szCs w:val="18"/>
      <w:lang w:val="es-ES"/>
    </w:rPr>
  </w:style>
  <w:style w:type="table" w:styleId="Tablaconcuadrcula">
    <w:name w:val="Table Grid"/>
    <w:basedOn w:val="Tablanormal"/>
    <w:uiPriority w:val="39"/>
    <w:rsid w:val="00865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53BB9"/>
    <w:rPr>
      <w:sz w:val="20"/>
      <w:szCs w:val="20"/>
    </w:rPr>
  </w:style>
  <w:style w:type="character" w:customStyle="1" w:styleId="TextonotapieCar">
    <w:name w:val="Texto nota pie Car"/>
    <w:basedOn w:val="Fuentedeprrafopredeter"/>
    <w:link w:val="Textonotapie"/>
    <w:uiPriority w:val="99"/>
    <w:semiHidden/>
    <w:rsid w:val="00853BB9"/>
    <w:rPr>
      <w:rFonts w:ascii="Garamond" w:eastAsia="Garamond" w:hAnsi="Garamond" w:cs="Garamond"/>
      <w:sz w:val="20"/>
      <w:szCs w:val="20"/>
      <w:lang w:val="es-ES"/>
    </w:rPr>
  </w:style>
  <w:style w:type="character" w:styleId="Refdenotaalpie">
    <w:name w:val="footnote reference"/>
    <w:basedOn w:val="Fuentedeprrafopredeter"/>
    <w:uiPriority w:val="99"/>
    <w:semiHidden/>
    <w:unhideWhenUsed/>
    <w:rsid w:val="00853BB9"/>
    <w:rPr>
      <w:vertAlign w:val="superscript"/>
    </w:rPr>
  </w:style>
  <w:style w:type="character" w:customStyle="1" w:styleId="authorname">
    <w:name w:val="authorname"/>
    <w:basedOn w:val="Fuentedeprrafopredeter"/>
    <w:rsid w:val="00B80317"/>
  </w:style>
  <w:style w:type="character" w:customStyle="1" w:styleId="separator">
    <w:name w:val="separator"/>
    <w:basedOn w:val="Fuentedeprrafopredeter"/>
    <w:rsid w:val="00B80317"/>
  </w:style>
  <w:style w:type="character" w:customStyle="1" w:styleId="Fecha1">
    <w:name w:val="Fecha1"/>
    <w:basedOn w:val="Fuentedeprrafopredeter"/>
    <w:rsid w:val="00B80317"/>
  </w:style>
  <w:style w:type="character" w:customStyle="1" w:styleId="arttitle">
    <w:name w:val="art_title"/>
    <w:basedOn w:val="Fuentedeprrafopredeter"/>
    <w:rsid w:val="00B80317"/>
  </w:style>
  <w:style w:type="character" w:customStyle="1" w:styleId="serialtitle">
    <w:name w:val="serial_title"/>
    <w:basedOn w:val="Fuentedeprrafopredeter"/>
    <w:rsid w:val="00B80317"/>
  </w:style>
  <w:style w:type="character" w:customStyle="1" w:styleId="volumeissue">
    <w:name w:val="volume_issue"/>
    <w:basedOn w:val="Fuentedeprrafopredeter"/>
    <w:rsid w:val="00B80317"/>
  </w:style>
  <w:style w:type="character" w:customStyle="1" w:styleId="pagerange">
    <w:name w:val="page_range"/>
    <w:basedOn w:val="Fuentedeprrafopredeter"/>
    <w:rsid w:val="00B80317"/>
  </w:style>
  <w:style w:type="character" w:customStyle="1" w:styleId="doilink">
    <w:name w:val="doi_link"/>
    <w:basedOn w:val="Fuentedeprrafopredeter"/>
    <w:rsid w:val="00B80317"/>
  </w:style>
  <w:style w:type="table" w:customStyle="1" w:styleId="a">
    <w:basedOn w:val="Tablanormal"/>
    <w:tblPr>
      <w:tblStyleRowBandSize w:val="1"/>
      <w:tblStyleColBandSize w:val="1"/>
    </w:tblPr>
  </w:style>
  <w:style w:type="table" w:customStyle="1" w:styleId="a0">
    <w:basedOn w:val="Tablanormal"/>
    <w:tblPr>
      <w:tblStyleRowBandSize w:val="1"/>
      <w:tblStyleColBandSize w:val="1"/>
    </w:tblPr>
  </w:style>
  <w:style w:type="table" w:customStyle="1" w:styleId="a1">
    <w:basedOn w:val="Tablanormal"/>
    <w:tblPr>
      <w:tblStyleRowBandSize w:val="1"/>
      <w:tblStyleColBandSize w:val="1"/>
      <w:tblCellMar>
        <w:left w:w="0" w:type="dxa"/>
        <w:right w:w="0" w:type="dxa"/>
      </w:tblCellMar>
    </w:tblPr>
  </w:style>
  <w:style w:type="table" w:customStyle="1" w:styleId="a2">
    <w:basedOn w:val="Tabla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B250BB"/>
    <w:pPr>
      <w:widowControl/>
      <w:spacing w:before="100" w:beforeAutospacing="1" w:after="100" w:afterAutospacing="1"/>
    </w:pPr>
    <w:rPr>
      <w:rFonts w:ascii="Times New Roman" w:eastAsia="Times New Roman" w:hAnsi="Times New Roman" w:cs="Times New Roman"/>
      <w:sz w:val="24"/>
      <w:szCs w:val="24"/>
    </w:rPr>
  </w:style>
  <w:style w:type="character" w:styleId="Mencinsinresolver">
    <w:name w:val="Unresolved Mention"/>
    <w:basedOn w:val="Fuentedeprrafopredeter"/>
    <w:uiPriority w:val="99"/>
    <w:semiHidden/>
    <w:unhideWhenUsed/>
    <w:rsid w:val="008F6153"/>
    <w:rPr>
      <w:color w:val="605E5C"/>
      <w:shd w:val="clear" w:color="auto" w:fill="E1DFDD"/>
    </w:rPr>
  </w:style>
  <w:style w:type="table" w:customStyle="1" w:styleId="TableNormal1">
    <w:name w:val="Table Normal1"/>
    <w:rsid w:val="00007DCC"/>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357CEA"/>
    <w:rPr>
      <w:color w:val="800080" w:themeColor="followedHyperlink"/>
      <w:u w:val="single"/>
    </w:rPr>
  </w:style>
  <w:style w:type="paragraph" w:customStyle="1" w:styleId="Contenidodelmarco">
    <w:name w:val="Contenido del marco"/>
    <w:basedOn w:val="Normal"/>
    <w:qFormat/>
    <w:rsid w:val="0006043F"/>
    <w:pPr>
      <w:widowControl/>
      <w:suppressAutoHyphens/>
    </w:pPr>
    <w:rPr>
      <w:rFonts w:ascii="Times New Roman" w:eastAsia="Times New Roman" w:hAnsi="Times New Roman" w:cs="Times New Roman"/>
      <w:sz w:val="24"/>
      <w:szCs w:val="24"/>
      <w:lang w:val="es-ES" w:eastAsia="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advertising.amazon.com/es-mx/library/news/unboxed-prime-video-advertising" TargetMode="External"/><Relationship Id="rId21" Type="http://schemas.openxmlformats.org/officeDocument/2006/relationships/hyperlink" Target="https://doi.org/10.5209/cdmu.79113" TargetMode="External"/><Relationship Id="rId42" Type="http://schemas.openxmlformats.org/officeDocument/2006/relationships/hyperlink" Target="https://webgeca.geca.es/wpcontent/uploads/2025/12/GECA_Barometro-OTT_Cine_Noviembre_2025_PRENSA-1.pdf" TargetMode="External"/><Relationship Id="rId47" Type="http://schemas.openxmlformats.org/officeDocument/2006/relationships/hyperlink" Target="https://visualcompublications.es/revVISUAL/article/view/3692" TargetMode="External"/><Relationship Id="rId63" Type="http://schemas.openxmlformats.org/officeDocument/2006/relationships/hyperlink" Target="https://www.theciu.com/publicaciones-2/2020/7/13/modelos-de-negocio-de-plataformas-de-streaming" TargetMode="External"/><Relationship Id="rId68" Type="http://schemas.openxmlformats.org/officeDocument/2006/relationships/hyperlink" Target="https://ir.wbd.com"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barloventocomunicacion.es/wp-content/uploads/2026/01/Nota-de-prensa-TV-CONECTADA-12a-ola-diciembre-2025.pdf" TargetMode="External"/><Relationship Id="rId11" Type="http://schemas.openxmlformats.org/officeDocument/2006/relationships/hyperlink" Target="https://orcid.org/0000-0002-1543-2960" TargetMode="External"/><Relationship Id="rId24" Type="http://schemas.openxmlformats.org/officeDocument/2006/relationships/hyperlink" Target="https://advertising.amazon.com/es-mx/products/prime-video-ads" TargetMode="External"/><Relationship Id="rId32" Type="http://schemas.openxmlformats.org/officeDocument/2006/relationships/hyperlink" Target="https://www.reuters.com/technology/netflix-says-ad-supported-service-has-94-million-subscribers-2025-05-14/?utm_source=chatgpt.com" TargetMode="External"/><Relationship Id="rId37" Type="http://schemas.openxmlformats.org/officeDocument/2006/relationships/hyperlink" Target="https://www.xataka.com/basics/precio-disney-2025-todos-planes-tarifas-disponibles-espana" TargetMode="External"/><Relationship Id="rId40" Type="http://schemas.openxmlformats.org/officeDocument/2006/relationships/hyperlink" Target="https://doi.org/10.37467/revvisual.v9.3692" TargetMode="External"/><Relationship Id="rId45" Type="http://schemas.openxmlformats.org/officeDocument/2006/relationships/hyperlink" Target="https://repositorio.uasb.edu.ec/bitstream/10644/8748/1/03-MO-Heredia.pdf" TargetMode="External"/><Relationship Id="rId53" Type="http://schemas.openxmlformats.org/officeDocument/2006/relationships/hyperlink" Target="https://static.poder360.com.br/2025/07/FINAL-Q2-25-Shareholder-Letter.pdf?utm_source=chatgpt.com" TargetMode="External"/><Relationship Id="rId58" Type="http://schemas.openxmlformats.org/officeDocument/2006/relationships/hyperlink" Target="https://www.simon-kucher.com/en/insights/state-streaming-services-us-navigating-subscription-fatigue-and-driving-retention" TargetMode="External"/><Relationship Id="rId66" Type="http://schemas.openxmlformats.org/officeDocument/2006/relationships/hyperlink" Target="https://thewaltdisneycompany.com/the-walt-disney-company-reports-second-quarter-earnings-for-fiscal-2025/" TargetMode="External"/><Relationship Id="rId5" Type="http://schemas.openxmlformats.org/officeDocument/2006/relationships/webSettings" Target="webSettings.xml"/><Relationship Id="rId61" Type="http://schemas.openxmlformats.org/officeDocument/2006/relationships/hyperlink" Target="https://doi.org/10.1111/newe.12023" TargetMode="External"/><Relationship Id="rId19" Type="http://schemas.openxmlformats.org/officeDocument/2006/relationships/image" Target="media/image4.png"/><Relationship Id="rId14" Type="http://schemas.openxmlformats.org/officeDocument/2006/relationships/hyperlink" Target="https://orcid.org/0000-0001-8381-4461" TargetMode="External"/><Relationship Id="rId22" Type="http://schemas.openxmlformats.org/officeDocument/2006/relationships/hyperlink" Target="https://www.amazon.es/AmazonPrime/?content-id=amzn1.sym.7434fe20-f8c0-45aa-82b3-82f16479687b" TargetMode="External"/><Relationship Id="rId27" Type="http://schemas.openxmlformats.org/officeDocument/2006/relationships/hyperlink" Target="https://www.elmundo.es/extras/publicidad/2025/01/31/679a53ddfdddff31678b45d3.html" TargetMode="External"/><Relationship Id="rId30" Type="http://schemas.openxmlformats.org/officeDocument/2006/relationships/hyperlink" Target="about:blank" TargetMode="External"/><Relationship Id="rId35" Type="http://schemas.openxmlformats.org/officeDocument/2006/relationships/hyperlink" Target="https://www.sci-tech-today.com/stats/amazon-prime-video-statistics-updated/" TargetMode="External"/><Relationship Id="rId43" Type="http://schemas.openxmlformats.org/officeDocument/2006/relationships/hyperlink" Target="https://dplnews.com/ingresos-de-plataformas-de-streaming-en-america-latina-creceran-70/" TargetMode="External"/><Relationship Id="rId48" Type="http://schemas.openxmlformats.org/officeDocument/2006/relationships/hyperlink" Target="https://visualcompublications.es/revVISUAL/article/view/3692" TargetMode="External"/><Relationship Id="rId56" Type="http://schemas.openxmlformats.org/officeDocument/2006/relationships/hyperlink" Target="https://www.puromarketing.com/14/214971/netflix-espera-duplicar-ingresos-publicidad-2025-modelo-suscripcion-anuncios" TargetMode="External"/><Relationship Id="rId64" Type="http://schemas.openxmlformats.org/officeDocument/2006/relationships/hyperlink" Target="https://www.thewaltdisneycompany.com/investor-relations" TargetMode="External"/><Relationship Id="rId69" Type="http://schemas.openxmlformats.org/officeDocument/2006/relationships/image" Target="media/image5.jpg"/><Relationship Id="rId8" Type="http://schemas.openxmlformats.org/officeDocument/2006/relationships/image" Target="media/image1.jpg"/><Relationship Id="rId51" Type="http://schemas.openxmlformats.org/officeDocument/2006/relationships/hyperlink" Target="https://press-spain.max.com/post/Max-lanza-un-plan-basico-con-anuncios-en-espana-para-ampliar-la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orcid.org/0000-0002-8791-5179" TargetMode="External"/><Relationship Id="rId17" Type="http://schemas.openxmlformats.org/officeDocument/2006/relationships/image" Target="media/image2.png"/><Relationship Id="rId25" Type="http://schemas.openxmlformats.org/officeDocument/2006/relationships/hyperlink" Target="https://advertising.amazon.com/es-mx/products/prime-video-ads" TargetMode="External"/><Relationship Id="rId33" Type="http://schemas.openxmlformats.org/officeDocument/2006/relationships/hyperlink" Target="https://civicscience.com/one-subscription-too-many-video-streaming-reaches-an-inflection-point-as-consumers-report-feeling-subscription-fatigue/" TargetMode="External"/><Relationship Id="rId38" Type="http://schemas.openxmlformats.org/officeDocument/2006/relationships/hyperlink" Target="https://doi.org/10.4185/rlcs-2025-2532" TargetMode="External"/><Relationship Id="rId46" Type="http://schemas.openxmlformats.org/officeDocument/2006/relationships/hyperlink" Target="https://repositorio.uasb.edu.ec/bitstream/10644/8748/1/03-MO-Heredia.pdf" TargetMode="External"/><Relationship Id="rId59" Type="http://schemas.openxmlformats.org/officeDocument/2006/relationships/hyperlink" Target="https://www.demandsage.com/netflix-subscribers/" TargetMode="External"/><Relationship Id="rId67" Type="http://schemas.openxmlformats.org/officeDocument/2006/relationships/hyperlink" Target="https://media.thinkbrg.com/wp-content/uploads/2024/10/23152459/CF_Subscription-Fatigue-Streamers_October2024.pdf" TargetMode="External"/><Relationship Id="rId20" Type="http://schemas.openxmlformats.org/officeDocument/2006/relationships/hyperlink" Target="https://doi.org/10.5209/cdmu.79113" TargetMode="External"/><Relationship Id="rId41" Type="http://schemas.openxmlformats.org/officeDocument/2006/relationships/hyperlink" Target="https://www.mercadonegro.pe/marketing/netflix-proyecta-ingresos-publicitarios-de-3200-millones-de-dolares-para-este-2025/" TargetMode="External"/><Relationship Id="rId54" Type="http://schemas.openxmlformats.org/officeDocument/2006/relationships/hyperlink" Target="https://about.netflix.com/es_es/news/announcing-basic-with-ads-es" TargetMode="External"/><Relationship Id="rId62" Type="http://schemas.openxmlformats.org/officeDocument/2006/relationships/hyperlink" Target="https://www.statista.com"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www.amazon.com/ir" TargetMode="External"/><Relationship Id="rId28" Type="http://schemas.openxmlformats.org/officeDocument/2006/relationships/hyperlink" Target="https://www.businessinsider.es/economia/amazon-planea-aumentar-publicidad-prime-video-partir-2025-1408907" TargetMode="External"/><Relationship Id="rId36" Type="http://schemas.openxmlformats.org/officeDocument/2006/relationships/hyperlink" Target="https://www.cope.es/actualidad/tecnologia/noticias/disponible-espana-plan-suscripcion-con-anuncios-disney-por-599-euros-mes-20231101_2978823" TargetMode="External"/><Relationship Id="rId49" Type="http://schemas.openxmlformats.org/officeDocument/2006/relationships/hyperlink" Target="https://elpais.com/extra/publicidad/2023-01-27/suscripciones-con-propaganda-el-peaje-del-streaming.html" TargetMode="External"/><Relationship Id="rId57" Type="http://schemas.openxmlformats.org/officeDocument/2006/relationships/hyperlink" Target="https://prnoticias.com/2025/07/31/netflix-elimina-su-plan-basico-definitivamente-ver-anuncios-o-pagar-mas/" TargetMode="External"/><Relationship Id="rId10" Type="http://schemas.openxmlformats.org/officeDocument/2006/relationships/image" Target="media/image9.png"/><Relationship Id="rId31" Type="http://schemas.openxmlformats.org/officeDocument/2006/relationships/hyperlink" Target="https://www.adslzone.net/noticias/streaming-tv/netflix-hbo-Max-amazon-prime-disney-plus-mejor-servicio/" TargetMode="External"/><Relationship Id="rId44" Type="http://schemas.openxmlformats.org/officeDocument/2006/relationships/hyperlink" Target="https://dplnews.com/ingresos-de-plataformas-de-streaming-en-america-latina-creceran-70/" TargetMode="External"/><Relationship Id="rId52" Type="http://schemas.openxmlformats.org/officeDocument/2006/relationships/hyperlink" Target="https://ir.netflix.net" TargetMode="External"/><Relationship Id="rId60" Type="http://schemas.openxmlformats.org/officeDocument/2006/relationships/hyperlink" Target="https://doi.org/10.1111/newe.12023" TargetMode="External"/><Relationship Id="rId65" Type="http://schemas.openxmlformats.org/officeDocument/2006/relationships/hyperlink" Target="https://thewaltdisneycompany.com/the-walt-disney-company-reports-second-quarter-earnings-for-fiscal-2025/"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ernando.garciachamizo@gmail.com" TargetMode="External"/><Relationship Id="rId13" Type="http://schemas.openxmlformats.org/officeDocument/2006/relationships/hyperlink" Target="mailto:belen.avila@esic.university" TargetMode="External"/><Relationship Id="rId18" Type="http://schemas.openxmlformats.org/officeDocument/2006/relationships/image" Target="media/image3.png"/><Relationship Id="rId39" Type="http://schemas.openxmlformats.org/officeDocument/2006/relationships/hyperlink" Target="https://doi.org/10.4185/rlcs-2025-2532" TargetMode="External"/><Relationship Id="rId34" Type="http://schemas.openxmlformats.org/officeDocument/2006/relationships/hyperlink" Target="https://doi.org/10.3145/epi.2024.0401" TargetMode="External"/><Relationship Id="rId50" Type="http://schemas.openxmlformats.org/officeDocument/2006/relationships/hyperlink" Target="https://lobemark.com/medios/netflix-apuesta-por-duplicar-sus-ingresos-publicitarios-para-2025-nid-11840" TargetMode="External"/><Relationship Id="rId55" Type="http://schemas.openxmlformats.org/officeDocument/2006/relationships/hyperlink" Target="https://computerhoy.20minutos.es/amazon/amazon-prime-video-mostrara-aun-anuncios-series-peliculas-2025-1408904" TargetMode="External"/><Relationship Id="rId7" Type="http://schemas.openxmlformats.org/officeDocument/2006/relationships/endnotes" Target="endnotes.xml"/><Relationship Id="rId71"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nDCrQH5K8hkY/wTXd2nj7uH+2w==">CgMxLjAyDmguNmowOXlwcjdoMTZ6Mg1oLjJqN25kZ3J4cTF2Mg5oLjI1cG9tcWw0aWpreDIOaC5scHFxMHkyYjQ0azkyDWguOXNmYWtiYnNyZWoyDmguanl1ZDZxajRnYzEzMg5oLjVzbTZqb2M2amZtcDIOaC5yYnV1MTNoazI1MXQ4AHIhMVBHVG9LRVNwUjg1djBtS24tZ2lBM3d4UGZSX2tjSWhu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83E5CB-AFE3-4D57-B64B-A7D2096A3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28</Pages>
  <Words>8285</Words>
  <Characters>45573</Characters>
  <Application>Microsoft Office Word</Application>
  <DocSecurity>0</DocSecurity>
  <Lines>379</Lines>
  <Paragraphs>107</Paragraphs>
  <ScaleCrop>false</ScaleCrop>
  <Company/>
  <LinksUpToDate>false</LinksUpToDate>
  <CharactersWithSpaces>53751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Quiles Moran, Francisco De Borja</cp:lastModifiedBy>
  <cp:revision>2</cp:revision>
  <dcterms:created xsi:type="dcterms:W3CDTF">2026-03-13T11:30:00Z</dcterms:created>
  <dcterms:modified xsi:type="dcterms:W3CDTF">2026-03-30T16:21:00Z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6177ec3-256d-4055-a9dc-f81ea519239a_Enabled">
    <vt:lpwstr>true</vt:lpwstr>
  </property>
  <property fmtid="{D5CDD505-2E9C-101B-9397-08002B2CF9AE}" pid="3" name="MSIP_Label_36177ec3-256d-4055-a9dc-f81ea519239a_SetDate">
    <vt:lpwstr>2026-01-18T21:08:07Z</vt:lpwstr>
  </property>
  <property fmtid="{D5CDD505-2E9C-101B-9397-08002B2CF9AE}" pid="4" name="MSIP_Label_36177ec3-256d-4055-a9dc-f81ea519239a_Method">
    <vt:lpwstr>Privileged</vt:lpwstr>
  </property>
  <property fmtid="{D5CDD505-2E9C-101B-9397-08002B2CF9AE}" pid="5" name="MSIP_Label_36177ec3-256d-4055-a9dc-f81ea519239a_Name">
    <vt:lpwstr>Público</vt:lpwstr>
  </property>
  <property fmtid="{D5CDD505-2E9C-101B-9397-08002B2CF9AE}" pid="6" name="MSIP_Label_36177ec3-256d-4055-a9dc-f81ea519239a_SiteId">
    <vt:lpwstr>31651f30-e0e9-431c-8c5e-f5c49130f662</vt:lpwstr>
  </property>
  <property fmtid="{D5CDD505-2E9C-101B-9397-08002B2CF9AE}" pid="7" name="MSIP_Label_36177ec3-256d-4055-a9dc-f81ea519239a_ActionId">
    <vt:lpwstr>5f6378d7-8df8-43a4-ae88-ff582aa4529f</vt:lpwstr>
  </property>
  <property fmtid="{D5CDD505-2E9C-101B-9397-08002B2CF9AE}" pid="8" name="MSIP_Label_36177ec3-256d-4055-a9dc-f81ea519239a_ContentBits">
    <vt:lpwstr>0</vt:lpwstr>
  </property>
  <property fmtid="{D5CDD505-2E9C-101B-9397-08002B2CF9AE}" pid="9" name="MSIP_Label_36177ec3-256d-4055-a9dc-f81ea519239a_Tag">
    <vt:lpwstr>10, 0, 1, 1</vt:lpwstr>
  </property>
</Properties>
</file>