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6878B" w14:textId="77777777" w:rsidR="00836639" w:rsidRDefault="00000000">
      <w:pPr>
        <w:widowControl/>
        <w:spacing w:before="120" w:line="324" w:lineRule="auto"/>
        <w:ind w:left="4708" w:right="1059"/>
        <w:rPr>
          <w:rFonts w:ascii="EB Garamond" w:eastAsia="EB Garamond" w:hAnsi="EB Garamond" w:cs="EB Garamond"/>
          <w:sz w:val="16"/>
          <w:szCs w:val="16"/>
        </w:rPr>
      </w:pPr>
      <w:r>
        <w:rPr>
          <w:rFonts w:ascii="EB Garamond" w:eastAsia="EB Garamond" w:hAnsi="EB Garamond" w:cs="EB Garamond"/>
          <w:color w:val="808080"/>
          <w:sz w:val="16"/>
          <w:szCs w:val="16"/>
        </w:rPr>
        <w:t>Fecha recepción: 01/10/2025 Fecha revisión: 12/01/2026</w:t>
      </w:r>
      <w:r>
        <w:rPr>
          <w:noProof/>
        </w:rPr>
        <w:drawing>
          <wp:anchor distT="0" distB="0" distL="0" distR="0" simplePos="0" relativeHeight="251658240" behindDoc="0" locked="0" layoutInCell="1" hidden="0" allowOverlap="1" wp14:anchorId="52B13DBF" wp14:editId="749AAF43">
            <wp:simplePos x="0" y="0"/>
            <wp:positionH relativeFrom="column">
              <wp:posOffset>273050</wp:posOffset>
            </wp:positionH>
            <wp:positionV relativeFrom="paragraph">
              <wp:posOffset>209550</wp:posOffset>
            </wp:positionV>
            <wp:extent cx="1924913" cy="473114"/>
            <wp:effectExtent l="0" t="0" r="0" b="0"/>
            <wp:wrapNone/>
            <wp:docPr id="41832674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924913" cy="473114"/>
                    </a:xfrm>
                    <a:prstGeom prst="rect">
                      <a:avLst/>
                    </a:prstGeom>
                    <a:ln/>
                  </pic:spPr>
                </pic:pic>
              </a:graphicData>
            </a:graphic>
          </wp:anchor>
        </w:drawing>
      </w:r>
      <w:r>
        <w:rPr>
          <w:noProof/>
        </w:rPr>
        <w:drawing>
          <wp:anchor distT="0" distB="0" distL="0" distR="0" simplePos="0" relativeHeight="251659264" behindDoc="0" locked="0" layoutInCell="1" hidden="0" allowOverlap="1" wp14:anchorId="6D42863D" wp14:editId="2C24B764">
            <wp:simplePos x="0" y="0"/>
            <wp:positionH relativeFrom="column">
              <wp:posOffset>273050</wp:posOffset>
            </wp:positionH>
            <wp:positionV relativeFrom="paragraph">
              <wp:posOffset>209550</wp:posOffset>
            </wp:positionV>
            <wp:extent cx="1924913" cy="473114"/>
            <wp:effectExtent l="0" t="0" r="0" b="0"/>
            <wp:wrapNone/>
            <wp:docPr id="41832674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924913" cy="473114"/>
                    </a:xfrm>
                    <a:prstGeom prst="rect">
                      <a:avLst/>
                    </a:prstGeom>
                    <a:ln/>
                  </pic:spPr>
                </pic:pic>
              </a:graphicData>
            </a:graphic>
          </wp:anchor>
        </w:drawing>
      </w:r>
    </w:p>
    <w:p w14:paraId="046AEC97" w14:textId="77777777" w:rsidR="00836639" w:rsidRDefault="00000000">
      <w:pPr>
        <w:widowControl/>
        <w:spacing w:before="1"/>
        <w:ind w:left="4708"/>
        <w:rPr>
          <w:rFonts w:ascii="EB Garamond" w:eastAsia="EB Garamond" w:hAnsi="EB Garamond" w:cs="EB Garamond"/>
          <w:sz w:val="16"/>
          <w:szCs w:val="16"/>
        </w:rPr>
      </w:pPr>
      <w:r>
        <w:rPr>
          <w:rFonts w:ascii="EB Garamond" w:eastAsia="EB Garamond" w:hAnsi="EB Garamond" w:cs="EB Garamond"/>
          <w:color w:val="808080"/>
          <w:sz w:val="16"/>
          <w:szCs w:val="16"/>
        </w:rPr>
        <w:t>Fecha de publicación: 30/01/2026</w:t>
      </w:r>
    </w:p>
    <w:p w14:paraId="15031188" w14:textId="77777777" w:rsidR="00836639" w:rsidRDefault="00836639">
      <w:pPr>
        <w:widowControl/>
        <w:spacing w:before="39" w:line="252" w:lineRule="auto"/>
        <w:ind w:left="638" w:right="130"/>
        <w:rPr>
          <w:rFonts w:ascii="Arial Narrow" w:eastAsia="Arial Narrow" w:hAnsi="Arial Narrow" w:cs="Arial Narrow"/>
          <w:color w:val="231F20"/>
          <w:sz w:val="30"/>
          <w:szCs w:val="30"/>
        </w:rPr>
      </w:pPr>
    </w:p>
    <w:p w14:paraId="31C45C7C" w14:textId="77777777" w:rsidR="00836639" w:rsidRPr="003E056B" w:rsidRDefault="00000000">
      <w:pPr>
        <w:widowControl/>
        <w:spacing w:before="39" w:line="252" w:lineRule="auto"/>
        <w:ind w:left="426" w:right="370"/>
        <w:jc w:val="both"/>
        <w:rPr>
          <w:b/>
          <w:bCs/>
          <w:sz w:val="18"/>
          <w:szCs w:val="18"/>
          <w:highlight w:val="yellow"/>
          <w:lang w:val="en-GB"/>
        </w:rPr>
      </w:pPr>
      <w:r w:rsidRPr="003E056B">
        <w:rPr>
          <w:rFonts w:ascii="Arial Narrow" w:eastAsia="Arial Narrow" w:hAnsi="Arial Narrow" w:cs="Arial Narrow"/>
          <w:b/>
          <w:bCs/>
          <w:color w:val="231F20"/>
          <w:sz w:val="30"/>
          <w:szCs w:val="30"/>
          <w:lang w:val="en-GB"/>
        </w:rPr>
        <w:t>Governance and incentives in the streaming era: lessons from Andalusia for the Valencian Community</w:t>
      </w:r>
    </w:p>
    <w:p w14:paraId="551CBEDD" w14:textId="77777777" w:rsidR="00836639" w:rsidRDefault="00000000">
      <w:pPr>
        <w:widowControl/>
        <w:spacing w:before="80"/>
        <w:ind w:left="426" w:right="370"/>
        <w:rPr>
          <w:sz w:val="16"/>
          <w:szCs w:val="16"/>
        </w:rPr>
      </w:pPr>
      <w:r>
        <w:rPr>
          <w:color w:val="8E1400"/>
          <w:sz w:val="16"/>
          <w:szCs w:val="16"/>
        </w:rPr>
        <w:t>Pablo Jesús Huerta-Viso</w:t>
      </w:r>
      <w:r>
        <w:rPr>
          <w:sz w:val="16"/>
          <w:szCs w:val="16"/>
        </w:rPr>
        <w:t xml:space="preserve">| </w:t>
      </w:r>
      <w:hyperlink r:id="rId9">
        <w:r>
          <w:rPr>
            <w:color w:val="1155CC"/>
            <w:sz w:val="16"/>
            <w:szCs w:val="16"/>
            <w:u w:val="single"/>
          </w:rPr>
          <w:t>pjhuerta@upv.es</w:t>
        </w:r>
      </w:hyperlink>
      <w:r>
        <w:rPr>
          <w:sz w:val="16"/>
          <w:szCs w:val="16"/>
        </w:rPr>
        <w:t xml:space="preserve"> | </w:t>
      </w:r>
      <w:r>
        <w:rPr>
          <w:noProof/>
        </w:rPr>
        <mc:AlternateContent>
          <mc:Choice Requires="wps">
            <w:drawing>
              <wp:anchor distT="4445" distB="4445" distL="4445" distR="4445" simplePos="0" relativeHeight="251660288" behindDoc="0" locked="0" layoutInCell="1" hidden="0" allowOverlap="1" wp14:anchorId="179C3A18" wp14:editId="5F6D5820">
                <wp:simplePos x="0" y="0"/>
                <wp:positionH relativeFrom="column">
                  <wp:posOffset>2394561</wp:posOffset>
                </wp:positionH>
                <wp:positionV relativeFrom="paragraph">
                  <wp:posOffset>108415</wp:posOffset>
                </wp:positionV>
                <wp:extent cx="2259184" cy="1050534"/>
                <wp:effectExtent l="0" t="0" r="0" b="0"/>
                <wp:wrapNone/>
                <wp:docPr id="418326741" name="Rectángulo 418326741"/>
                <wp:cNvGraphicFramePr/>
                <a:graphic xmlns:a="http://schemas.openxmlformats.org/drawingml/2006/main">
                  <a:graphicData uri="http://schemas.microsoft.com/office/word/2010/wordprocessingShape">
                    <wps:wsp>
                      <wps:cNvSpPr/>
                      <wps:spPr>
                        <a:xfrm>
                          <a:off x="4221171" y="3259496"/>
                          <a:ext cx="2249659" cy="1041009"/>
                        </a:xfrm>
                        <a:prstGeom prst="rect">
                          <a:avLst/>
                        </a:prstGeom>
                        <a:solidFill>
                          <a:schemeClr val="lt1"/>
                        </a:solidFill>
                        <a:ln w="9525" cap="flat" cmpd="sng">
                          <a:solidFill>
                            <a:srgbClr val="C00000"/>
                          </a:solidFill>
                          <a:prstDash val="solid"/>
                          <a:round/>
                          <a:headEnd type="none" w="sm" len="sm"/>
                          <a:tailEnd type="none" w="sm" len="sm"/>
                        </a:ln>
                      </wps:spPr>
                      <wps:txbx>
                        <w:txbxContent>
                          <w:p w14:paraId="1F13AC8C" w14:textId="4B7C6F93" w:rsidR="00836639" w:rsidRDefault="00000000">
                            <w:pPr>
                              <w:spacing w:before="20" w:line="283" w:lineRule="auto"/>
                              <w:ind w:left="20" w:firstLine="40"/>
                              <w:textDirection w:val="btLr"/>
                            </w:pPr>
                            <w:r w:rsidRPr="003E056B">
                              <w:rPr>
                                <w:b/>
                                <w:color w:val="231F20"/>
                                <w:sz w:val="16"/>
                                <w:lang w:val="en-GB"/>
                              </w:rPr>
                              <w:t xml:space="preserve">How to cite this text: </w:t>
                            </w:r>
                            <w:r w:rsidRPr="003E056B">
                              <w:rPr>
                                <w:color w:val="231F20"/>
                                <w:sz w:val="16"/>
                                <w:lang w:val="en-GB"/>
                              </w:rPr>
                              <w:t xml:space="preserve">Pablo Jesús Huerta-Viso (2026): </w:t>
                            </w:r>
                            <w:r w:rsidR="003E056B" w:rsidRPr="003E056B">
                              <w:rPr>
                                <w:color w:val="231F20"/>
                                <w:sz w:val="16"/>
                                <w:lang w:val="en-GB"/>
                              </w:rPr>
                              <w:t>Governance and incentives in the streaming era: lessons from Andalusia for the Valencian Community</w:t>
                            </w:r>
                            <w:r w:rsidRPr="003E056B">
                              <w:rPr>
                                <w:color w:val="231F20"/>
                                <w:sz w:val="16"/>
                                <w:lang w:val="en-GB"/>
                              </w:rPr>
                              <w:t xml:space="preserve">, </w:t>
                            </w:r>
                            <w:r w:rsidR="003E056B">
                              <w:rPr>
                                <w:color w:val="231F20"/>
                                <w:sz w:val="16"/>
                                <w:lang w:val="en-GB"/>
                              </w:rPr>
                              <w:t>in</w:t>
                            </w:r>
                            <w:r w:rsidRPr="003E056B">
                              <w:rPr>
                                <w:color w:val="231F20"/>
                                <w:sz w:val="16"/>
                                <w:lang w:val="en-GB"/>
                              </w:rPr>
                              <w:t xml:space="preserve"> </w:t>
                            </w:r>
                            <w:r w:rsidRPr="003E056B">
                              <w:rPr>
                                <w:i/>
                                <w:color w:val="231F20"/>
                                <w:sz w:val="16"/>
                                <w:lang w:val="en-GB"/>
                              </w:rPr>
                              <w:t>Miguel Hernández Communication Journal</w:t>
                            </w:r>
                            <w:r w:rsidRPr="003E056B">
                              <w:rPr>
                                <w:color w:val="231F20"/>
                                <w:sz w:val="16"/>
                                <w:lang w:val="en-GB"/>
                              </w:rPr>
                              <w:t xml:space="preserve">, Vol. 17 (1), pp. 81 </w:t>
                            </w:r>
                            <w:r w:rsidR="003E056B">
                              <w:rPr>
                                <w:color w:val="231F20"/>
                                <w:sz w:val="16"/>
                                <w:lang w:val="en-GB"/>
                              </w:rPr>
                              <w:t>to</w:t>
                            </w:r>
                            <w:r w:rsidRPr="003E056B">
                              <w:rPr>
                                <w:color w:val="231F20"/>
                                <w:sz w:val="16"/>
                                <w:lang w:val="en-GB"/>
                              </w:rPr>
                              <w:t xml:space="preserve"> 101. </w:t>
                            </w:r>
                            <w:r>
                              <w:rPr>
                                <w:color w:val="231F20"/>
                                <w:sz w:val="16"/>
                              </w:rPr>
                              <w:t>Universidad Miguel Hernández, UMH (Elche-Alicante). DOI:  10.21134/dr7h3s12</w:t>
                            </w:r>
                          </w:p>
                        </w:txbxContent>
                      </wps:txbx>
                      <wps:bodyPr spcFirstLastPara="1" wrap="square" lIns="91425" tIns="45700" rIns="91425" bIns="45700" anchor="t" anchorCtr="0">
                        <a:noAutofit/>
                      </wps:bodyPr>
                    </wps:wsp>
                  </a:graphicData>
                </a:graphic>
              </wp:anchor>
            </w:drawing>
          </mc:Choice>
          <mc:Fallback>
            <w:pict>
              <v:rect w14:anchorId="179C3A18" id="Rectángulo 418326741" o:spid="_x0000_s1026" style="position:absolute;left:0;text-align:left;margin-left:188.55pt;margin-top:8.55pt;width:177.9pt;height:82.7pt;z-index:251660288;visibility:visible;mso-wrap-style:square;mso-wrap-distance-left:.35pt;mso-wrap-distance-top:.35pt;mso-wrap-distance-right:.35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" fillcolor="white [3201]" strokecolor="#c00000">
                <v:stroke startarrowwidth="narrow" startarrowlength="short" endarrowwidth="narrow" endarrowlength="short" joinstyle="round"/>
                <v:textbox inset="2.53958mm,1.2694mm,2.53958mm,1.2694mm">
                  <w:txbxContent>
                    <w:p w14:paraId="1F13AC8C" w14:textId="4B7C6F93" w:rsidR="00836639" w:rsidRDefault="00000000">
                      <w:pPr>
                        <w:spacing w:before="20" w:line="283" w:lineRule="auto"/>
                        <w:ind w:left="20" w:firstLine="40"/>
                        <w:textDirection w:val="btLr"/>
                      </w:pPr>
                      <w:r w:rsidRPr="003E056B">
                        <w:rPr>
                          <w:b/>
                          <w:color w:val="231F20"/>
                          <w:sz w:val="16"/>
                          <w:lang w:val="en-GB"/>
                        </w:rPr>
                        <w:t xml:space="preserve">How to cite this text: </w:t>
                      </w:r>
                      <w:r w:rsidRPr="003E056B">
                        <w:rPr>
                          <w:color w:val="231F20"/>
                          <w:sz w:val="16"/>
                          <w:lang w:val="en-GB"/>
                        </w:rPr>
                        <w:t xml:space="preserve">Pablo Jesús Huerta-Viso (2026): </w:t>
                      </w:r>
                      <w:r w:rsidR="003E056B" w:rsidRPr="003E056B">
                        <w:rPr>
                          <w:color w:val="231F20"/>
                          <w:sz w:val="16"/>
                          <w:lang w:val="en-GB"/>
                        </w:rPr>
                        <w:t>Governance and incentives in the streaming era: lessons from Andalusia for the Valencian Community</w:t>
                      </w:r>
                      <w:r w:rsidRPr="003E056B">
                        <w:rPr>
                          <w:color w:val="231F20"/>
                          <w:sz w:val="16"/>
                          <w:lang w:val="en-GB"/>
                        </w:rPr>
                        <w:t xml:space="preserve">, </w:t>
                      </w:r>
                      <w:r w:rsidR="003E056B">
                        <w:rPr>
                          <w:color w:val="231F20"/>
                          <w:sz w:val="16"/>
                          <w:lang w:val="en-GB"/>
                        </w:rPr>
                        <w:t>in</w:t>
                      </w:r>
                      <w:r w:rsidRPr="003E056B">
                        <w:rPr>
                          <w:color w:val="231F20"/>
                          <w:sz w:val="16"/>
                          <w:lang w:val="en-GB"/>
                        </w:rPr>
                        <w:t xml:space="preserve"> </w:t>
                      </w:r>
                      <w:r w:rsidRPr="003E056B">
                        <w:rPr>
                          <w:i/>
                          <w:color w:val="231F20"/>
                          <w:sz w:val="16"/>
                          <w:lang w:val="en-GB"/>
                        </w:rPr>
                        <w:t>Miguel Hernández Communication Journal</w:t>
                      </w:r>
                      <w:r w:rsidRPr="003E056B">
                        <w:rPr>
                          <w:color w:val="231F20"/>
                          <w:sz w:val="16"/>
                          <w:lang w:val="en-GB"/>
                        </w:rPr>
                        <w:t xml:space="preserve">, Vol. 17 (1), pp. 81 </w:t>
                      </w:r>
                      <w:r w:rsidR="003E056B">
                        <w:rPr>
                          <w:color w:val="231F20"/>
                          <w:sz w:val="16"/>
                          <w:lang w:val="en-GB"/>
                        </w:rPr>
                        <w:t>to</w:t>
                      </w:r>
                      <w:r w:rsidRPr="003E056B">
                        <w:rPr>
                          <w:color w:val="231F20"/>
                          <w:sz w:val="16"/>
                          <w:lang w:val="en-GB"/>
                        </w:rPr>
                        <w:t xml:space="preserve"> 101. </w:t>
                      </w:r>
                      <w:r>
                        <w:rPr>
                          <w:color w:val="231F20"/>
                          <w:sz w:val="16"/>
                        </w:rPr>
                        <w:t>Universidad Miguel Hernández, UMH (Elche-Alicante). DOI:  10.21134/dr7h3s12</w:t>
                      </w:r>
                    </w:p>
                  </w:txbxContent>
                </v:textbox>
              </v:rect>
            </w:pict>
          </mc:Fallback>
        </mc:AlternateContent>
      </w:r>
    </w:p>
    <w:p w14:paraId="4AD2F881" w14:textId="77777777" w:rsidR="00836639" w:rsidRDefault="00000000">
      <w:pPr>
        <w:widowControl/>
        <w:spacing w:before="80"/>
        <w:ind w:left="426" w:right="370"/>
        <w:rPr>
          <w:sz w:val="16"/>
          <w:szCs w:val="16"/>
        </w:rPr>
      </w:pPr>
      <w:hyperlink r:id="rId10">
        <w:r>
          <w:rPr>
            <w:color w:val="0000FF"/>
            <w:sz w:val="16"/>
            <w:szCs w:val="16"/>
            <w:u w:val="single"/>
          </w:rPr>
          <w:t>https://orcid.org/0000-0001-6341-3193</w:t>
        </w:r>
      </w:hyperlink>
      <w:r>
        <w:t xml:space="preserve"> </w:t>
      </w:r>
    </w:p>
    <w:p w14:paraId="1A944D00" w14:textId="19172524" w:rsidR="00836639" w:rsidRPr="003E056B" w:rsidRDefault="003E056B">
      <w:pPr>
        <w:widowControl/>
        <w:spacing w:before="80"/>
        <w:ind w:left="426" w:right="370"/>
        <w:rPr>
          <w:sz w:val="16"/>
          <w:szCs w:val="16"/>
          <w:lang w:val="en-GB"/>
        </w:rPr>
      </w:pPr>
      <w:r w:rsidRPr="003E056B">
        <w:rPr>
          <w:sz w:val="16"/>
          <w:szCs w:val="16"/>
          <w:lang w:val="en-GB"/>
        </w:rPr>
        <w:t>Technical University of Valencia</w:t>
      </w:r>
      <w:r w:rsidRPr="003E056B">
        <w:rPr>
          <w:sz w:val="16"/>
          <w:szCs w:val="16"/>
          <w:lang w:val="en-GB"/>
        </w:rPr>
        <w:t xml:space="preserve"> </w:t>
      </w:r>
      <w:r w:rsidR="00000000" w:rsidRPr="003E056B">
        <w:rPr>
          <w:sz w:val="16"/>
          <w:szCs w:val="16"/>
          <w:lang w:val="en-GB"/>
        </w:rPr>
        <w:t>(</w:t>
      </w:r>
      <w:r>
        <w:rPr>
          <w:sz w:val="16"/>
          <w:szCs w:val="16"/>
          <w:lang w:val="en-GB"/>
        </w:rPr>
        <w:t>Spain</w:t>
      </w:r>
      <w:r w:rsidR="00000000" w:rsidRPr="003E056B">
        <w:rPr>
          <w:sz w:val="16"/>
          <w:szCs w:val="16"/>
          <w:lang w:val="en-GB"/>
        </w:rPr>
        <w:t>)</w:t>
      </w:r>
    </w:p>
    <w:tbl>
      <w:tblPr>
        <w:tblStyle w:val="a3"/>
        <w:tblW w:w="7087" w:type="dxa"/>
        <w:tblInd w:w="421" w:type="dxa"/>
        <w:tblBorders>
          <w:top w:val="nil"/>
          <w:left w:val="nil"/>
          <w:bottom w:val="nil"/>
          <w:right w:val="nil"/>
          <w:insideH w:val="nil"/>
          <w:insideV w:val="nil"/>
        </w:tblBorders>
        <w:tblLayout w:type="fixed"/>
        <w:tblLook w:val="0400" w:firstRow="0" w:lastRow="0" w:firstColumn="0" w:lastColumn="0" w:noHBand="0" w:noVBand="1"/>
      </w:tblPr>
      <w:tblGrid>
        <w:gridCol w:w="2409"/>
        <w:gridCol w:w="4678"/>
      </w:tblGrid>
      <w:tr w:rsidR="00836639" w14:paraId="7DB58E25" w14:textId="77777777">
        <w:tc>
          <w:tcPr>
            <w:tcW w:w="2409" w:type="dxa"/>
            <w:vAlign w:val="center"/>
          </w:tcPr>
          <w:p w14:paraId="465AAE33" w14:textId="77777777" w:rsidR="00836639" w:rsidRDefault="00000000">
            <w:pPr>
              <w:widowControl/>
              <w:spacing w:before="177" w:line="204" w:lineRule="auto"/>
              <w:rPr>
                <w:b/>
                <w:bCs/>
                <w:sz w:val="18"/>
                <w:szCs w:val="18"/>
              </w:rPr>
            </w:pPr>
            <w:proofErr w:type="spellStart"/>
            <w:r>
              <w:rPr>
                <w:b/>
                <w:bCs/>
                <w:sz w:val="18"/>
                <w:szCs w:val="18"/>
              </w:rPr>
              <w:t>Summary</w:t>
            </w:r>
            <w:proofErr w:type="spellEnd"/>
          </w:p>
        </w:tc>
        <w:tc>
          <w:tcPr>
            <w:tcW w:w="4678" w:type="dxa"/>
            <w:vAlign w:val="center"/>
          </w:tcPr>
          <w:p w14:paraId="1FD9B305" w14:textId="77777777" w:rsidR="00836639" w:rsidRDefault="00836639">
            <w:pPr>
              <w:widowControl/>
              <w:spacing w:before="177" w:line="204" w:lineRule="auto"/>
              <w:rPr>
                <w:b/>
                <w:bCs/>
                <w:sz w:val="18"/>
                <w:szCs w:val="18"/>
              </w:rPr>
            </w:pPr>
          </w:p>
        </w:tc>
      </w:tr>
      <w:tr w:rsidR="00836639" w:rsidRPr="003E056B" w14:paraId="4CD900BA" w14:textId="77777777">
        <w:tc>
          <w:tcPr>
            <w:tcW w:w="2409" w:type="dxa"/>
          </w:tcPr>
          <w:p w14:paraId="391B1EA6" w14:textId="77777777" w:rsidR="00836639" w:rsidRDefault="00000000">
            <w:pPr>
              <w:widowControl/>
              <w:numPr>
                <w:ilvl w:val="0"/>
                <w:numId w:val="2"/>
              </w:numPr>
              <w:pBdr>
                <w:top w:val="nil"/>
                <w:left w:val="nil"/>
                <w:bottom w:val="nil"/>
                <w:right w:val="nil"/>
                <w:between w:val="nil"/>
              </w:pBdr>
              <w:spacing w:line="180" w:lineRule="auto"/>
              <w:ind w:left="169" w:right="36" w:hanging="142"/>
              <w:rPr>
                <w:color w:val="000000"/>
                <w:sz w:val="16"/>
                <w:szCs w:val="16"/>
              </w:rPr>
            </w:pPr>
            <w:proofErr w:type="spellStart"/>
            <w:r>
              <w:rPr>
                <w:color w:val="808080"/>
                <w:sz w:val="16"/>
                <w:szCs w:val="16"/>
              </w:rPr>
              <w:t>Introduction</w:t>
            </w:r>
            <w:proofErr w:type="spellEnd"/>
          </w:p>
          <w:p w14:paraId="60738DDC" w14:textId="678EE7E4" w:rsidR="00836639" w:rsidRDefault="003E056B">
            <w:pPr>
              <w:widowControl/>
              <w:numPr>
                <w:ilvl w:val="0"/>
                <w:numId w:val="2"/>
              </w:numPr>
              <w:pBdr>
                <w:top w:val="nil"/>
                <w:left w:val="nil"/>
                <w:bottom w:val="nil"/>
                <w:right w:val="nil"/>
                <w:between w:val="nil"/>
              </w:pBdr>
              <w:spacing w:line="180" w:lineRule="auto"/>
              <w:ind w:left="169" w:right="36" w:hanging="142"/>
              <w:rPr>
                <w:color w:val="000000"/>
                <w:sz w:val="16"/>
                <w:szCs w:val="16"/>
              </w:rPr>
            </w:pPr>
            <w:proofErr w:type="spellStart"/>
            <w:r>
              <w:rPr>
                <w:color w:val="808080"/>
                <w:sz w:val="16"/>
                <w:szCs w:val="16"/>
              </w:rPr>
              <w:t>Literature</w:t>
            </w:r>
            <w:proofErr w:type="spellEnd"/>
            <w:r>
              <w:rPr>
                <w:color w:val="808080"/>
                <w:sz w:val="16"/>
                <w:szCs w:val="16"/>
              </w:rPr>
              <w:t xml:space="preserve"> </w:t>
            </w:r>
            <w:proofErr w:type="spellStart"/>
            <w:r>
              <w:rPr>
                <w:color w:val="808080"/>
                <w:sz w:val="16"/>
                <w:szCs w:val="16"/>
              </w:rPr>
              <w:t>review</w:t>
            </w:r>
            <w:proofErr w:type="spellEnd"/>
            <w:r w:rsidR="00000000">
              <w:rPr>
                <w:color w:val="808080"/>
                <w:sz w:val="16"/>
                <w:szCs w:val="16"/>
              </w:rPr>
              <w:t xml:space="preserve"> and </w:t>
            </w:r>
            <w:proofErr w:type="spellStart"/>
            <w:r w:rsidR="00000000">
              <w:rPr>
                <w:color w:val="808080"/>
                <w:sz w:val="16"/>
                <w:szCs w:val="16"/>
              </w:rPr>
              <w:t>background</w:t>
            </w:r>
            <w:proofErr w:type="spellEnd"/>
          </w:p>
          <w:p w14:paraId="4C161CAB" w14:textId="77777777" w:rsidR="00836639" w:rsidRPr="003E056B" w:rsidRDefault="00000000">
            <w:pPr>
              <w:widowControl/>
              <w:numPr>
                <w:ilvl w:val="1"/>
                <w:numId w:val="2"/>
              </w:numPr>
              <w:pBdr>
                <w:top w:val="nil"/>
                <w:left w:val="nil"/>
                <w:bottom w:val="nil"/>
                <w:right w:val="nil"/>
                <w:between w:val="nil"/>
              </w:pBdr>
              <w:spacing w:line="180" w:lineRule="auto"/>
              <w:ind w:left="319" w:right="36" w:hanging="284"/>
              <w:rPr>
                <w:sz w:val="16"/>
                <w:szCs w:val="16"/>
                <w:lang w:val="en-GB"/>
              </w:rPr>
            </w:pPr>
            <w:r w:rsidRPr="003E056B">
              <w:rPr>
                <w:color w:val="808080"/>
                <w:sz w:val="16"/>
                <w:szCs w:val="16"/>
                <w:lang w:val="en-GB"/>
              </w:rPr>
              <w:t>OTT platforms: from programming schedules to portals and on-demand programming</w:t>
            </w:r>
          </w:p>
          <w:p w14:paraId="0756AD9B" w14:textId="77777777" w:rsidR="00836639" w:rsidRPr="003E056B" w:rsidRDefault="00000000">
            <w:pPr>
              <w:widowControl/>
              <w:numPr>
                <w:ilvl w:val="1"/>
                <w:numId w:val="2"/>
              </w:numPr>
              <w:pBdr>
                <w:top w:val="nil"/>
                <w:left w:val="nil"/>
                <w:bottom w:val="nil"/>
                <w:right w:val="nil"/>
                <w:between w:val="nil"/>
              </w:pBdr>
              <w:spacing w:line="180" w:lineRule="auto"/>
              <w:ind w:left="319" w:right="36" w:hanging="284"/>
              <w:rPr>
                <w:sz w:val="16"/>
                <w:szCs w:val="16"/>
                <w:lang w:val="en-GB"/>
              </w:rPr>
            </w:pPr>
            <w:r w:rsidRPr="003E056B">
              <w:rPr>
                <w:color w:val="808080"/>
                <w:sz w:val="16"/>
                <w:szCs w:val="16"/>
                <w:lang w:val="en-GB"/>
              </w:rPr>
              <w:t>Multilevel governance of audiovisual media in the streaming era</w:t>
            </w:r>
          </w:p>
          <w:p w14:paraId="234ED2DA" w14:textId="77777777" w:rsidR="00836639" w:rsidRDefault="00000000">
            <w:pPr>
              <w:widowControl/>
              <w:numPr>
                <w:ilvl w:val="1"/>
                <w:numId w:val="2"/>
              </w:numPr>
              <w:pBdr>
                <w:top w:val="nil"/>
                <w:left w:val="nil"/>
                <w:bottom w:val="nil"/>
                <w:right w:val="nil"/>
                <w:between w:val="nil"/>
              </w:pBdr>
              <w:spacing w:line="180" w:lineRule="auto"/>
              <w:ind w:left="319" w:right="36" w:hanging="284"/>
              <w:rPr>
                <w:sz w:val="16"/>
                <w:szCs w:val="16"/>
              </w:rPr>
            </w:pPr>
            <w:proofErr w:type="spellStart"/>
            <w:r>
              <w:rPr>
                <w:color w:val="808080"/>
                <w:sz w:val="16"/>
                <w:szCs w:val="16"/>
              </w:rPr>
              <w:t>Production</w:t>
            </w:r>
            <w:proofErr w:type="spellEnd"/>
            <w:r>
              <w:rPr>
                <w:color w:val="808080"/>
                <w:sz w:val="16"/>
                <w:szCs w:val="16"/>
              </w:rPr>
              <w:t xml:space="preserve"> incentives and territorial </w:t>
            </w:r>
            <w:proofErr w:type="spellStart"/>
            <w:r>
              <w:rPr>
                <w:color w:val="808080"/>
                <w:sz w:val="16"/>
                <w:szCs w:val="16"/>
              </w:rPr>
              <w:t>competition</w:t>
            </w:r>
            <w:proofErr w:type="spellEnd"/>
          </w:p>
          <w:p w14:paraId="21FBA9DF" w14:textId="77777777" w:rsidR="00836639" w:rsidRPr="003E056B" w:rsidRDefault="00000000">
            <w:pPr>
              <w:widowControl/>
              <w:numPr>
                <w:ilvl w:val="1"/>
                <w:numId w:val="2"/>
              </w:numPr>
              <w:pBdr>
                <w:top w:val="nil"/>
                <w:left w:val="nil"/>
                <w:bottom w:val="nil"/>
                <w:right w:val="nil"/>
                <w:between w:val="nil"/>
              </w:pBdr>
              <w:spacing w:line="180" w:lineRule="auto"/>
              <w:ind w:left="319" w:right="36" w:hanging="284"/>
              <w:rPr>
                <w:sz w:val="16"/>
                <w:szCs w:val="16"/>
                <w:lang w:val="en-GB"/>
              </w:rPr>
            </w:pPr>
            <w:r w:rsidRPr="003E056B">
              <w:rPr>
                <w:color w:val="808080"/>
                <w:sz w:val="16"/>
                <w:szCs w:val="16"/>
                <w:lang w:val="en-GB"/>
              </w:rPr>
              <w:t>Film offices and film commissions as soft production infrastructure</w:t>
            </w:r>
          </w:p>
          <w:p w14:paraId="4EB09E16" w14:textId="77777777" w:rsidR="00836639" w:rsidRPr="003E056B" w:rsidRDefault="00000000">
            <w:pPr>
              <w:widowControl/>
              <w:numPr>
                <w:ilvl w:val="1"/>
                <w:numId w:val="2"/>
              </w:numPr>
              <w:pBdr>
                <w:top w:val="nil"/>
                <w:left w:val="nil"/>
                <w:bottom w:val="nil"/>
                <w:right w:val="nil"/>
                <w:between w:val="nil"/>
              </w:pBdr>
              <w:spacing w:line="180" w:lineRule="auto"/>
              <w:ind w:left="319" w:right="36" w:hanging="284"/>
              <w:rPr>
                <w:sz w:val="16"/>
                <w:szCs w:val="16"/>
                <w:lang w:val="en-GB"/>
              </w:rPr>
            </w:pPr>
            <w:r w:rsidRPr="003E056B">
              <w:rPr>
                <w:color w:val="808080"/>
                <w:sz w:val="16"/>
                <w:szCs w:val="16"/>
                <w:lang w:val="en-GB"/>
              </w:rPr>
              <w:t>Film studios and hard infrastructure: hub logic and agglomeration economies</w:t>
            </w:r>
          </w:p>
          <w:p w14:paraId="68AD962B" w14:textId="77777777" w:rsidR="00836639" w:rsidRDefault="00000000">
            <w:pPr>
              <w:widowControl/>
              <w:numPr>
                <w:ilvl w:val="0"/>
                <w:numId w:val="2"/>
              </w:numPr>
              <w:pBdr>
                <w:top w:val="nil"/>
                <w:left w:val="nil"/>
                <w:bottom w:val="nil"/>
                <w:right w:val="nil"/>
                <w:between w:val="nil"/>
              </w:pBdr>
              <w:spacing w:line="180" w:lineRule="auto"/>
              <w:ind w:left="169" w:right="36" w:hanging="142"/>
              <w:rPr>
                <w:color w:val="808080"/>
                <w:sz w:val="16"/>
                <w:szCs w:val="16"/>
              </w:rPr>
            </w:pPr>
            <w:r>
              <w:rPr>
                <w:color w:val="808080"/>
                <w:sz w:val="16"/>
                <w:szCs w:val="16"/>
              </w:rPr>
              <w:t>Method</w:t>
            </w:r>
          </w:p>
          <w:p w14:paraId="6666EA34" w14:textId="77777777" w:rsidR="00836639" w:rsidRDefault="00000000">
            <w:pPr>
              <w:widowControl/>
              <w:numPr>
                <w:ilvl w:val="0"/>
                <w:numId w:val="2"/>
              </w:numPr>
              <w:pBdr>
                <w:top w:val="nil"/>
                <w:left w:val="nil"/>
                <w:bottom w:val="nil"/>
                <w:right w:val="nil"/>
                <w:between w:val="nil"/>
              </w:pBdr>
              <w:tabs>
                <w:tab w:val="left" w:pos="847"/>
              </w:tabs>
              <w:spacing w:line="180" w:lineRule="auto"/>
              <w:ind w:left="169" w:right="36" w:hanging="142"/>
              <w:rPr>
                <w:color w:val="000000"/>
                <w:sz w:val="16"/>
                <w:szCs w:val="16"/>
              </w:rPr>
            </w:pPr>
            <w:proofErr w:type="spellStart"/>
            <w:r>
              <w:rPr>
                <w:color w:val="808080"/>
                <w:sz w:val="16"/>
                <w:szCs w:val="16"/>
              </w:rPr>
              <w:t>Analysis</w:t>
            </w:r>
            <w:proofErr w:type="spellEnd"/>
            <w:r>
              <w:rPr>
                <w:color w:val="808080"/>
                <w:sz w:val="16"/>
                <w:szCs w:val="16"/>
              </w:rPr>
              <w:t xml:space="preserve"> and </w:t>
            </w:r>
            <w:proofErr w:type="spellStart"/>
            <w:r>
              <w:rPr>
                <w:color w:val="808080"/>
                <w:sz w:val="16"/>
                <w:szCs w:val="16"/>
              </w:rPr>
              <w:t>results</w:t>
            </w:r>
            <w:proofErr w:type="spellEnd"/>
          </w:p>
          <w:p w14:paraId="1533AD07" w14:textId="77777777" w:rsidR="00836639" w:rsidRPr="003E056B" w:rsidRDefault="00000000">
            <w:pPr>
              <w:widowControl/>
              <w:numPr>
                <w:ilvl w:val="1"/>
                <w:numId w:val="2"/>
              </w:numPr>
              <w:pBdr>
                <w:top w:val="nil"/>
                <w:left w:val="nil"/>
                <w:bottom w:val="nil"/>
                <w:right w:val="nil"/>
                <w:between w:val="nil"/>
              </w:pBdr>
              <w:tabs>
                <w:tab w:val="left" w:pos="319"/>
              </w:tabs>
              <w:spacing w:before="1" w:line="199" w:lineRule="auto"/>
              <w:ind w:left="319" w:right="36" w:hanging="284"/>
              <w:rPr>
                <w:sz w:val="16"/>
                <w:szCs w:val="16"/>
                <w:lang w:val="en-GB"/>
              </w:rPr>
            </w:pPr>
            <w:r w:rsidRPr="003E056B">
              <w:rPr>
                <w:color w:val="808080"/>
                <w:sz w:val="16"/>
                <w:szCs w:val="16"/>
                <w:lang w:val="en-GB"/>
              </w:rPr>
              <w:t>Incentives and policies to attract film shoots in the streaming era</w:t>
            </w:r>
          </w:p>
          <w:p w14:paraId="7A819ABD" w14:textId="77777777" w:rsidR="00836639" w:rsidRPr="003E056B" w:rsidRDefault="00000000">
            <w:pPr>
              <w:widowControl/>
              <w:numPr>
                <w:ilvl w:val="1"/>
                <w:numId w:val="2"/>
              </w:numPr>
              <w:pBdr>
                <w:top w:val="nil"/>
                <w:left w:val="nil"/>
                <w:bottom w:val="nil"/>
                <w:right w:val="nil"/>
                <w:between w:val="nil"/>
              </w:pBdr>
              <w:tabs>
                <w:tab w:val="left" w:pos="319"/>
              </w:tabs>
              <w:spacing w:before="1" w:line="199" w:lineRule="auto"/>
              <w:ind w:left="319" w:right="36" w:hanging="284"/>
              <w:rPr>
                <w:sz w:val="16"/>
                <w:szCs w:val="16"/>
                <w:lang w:val="en-GB"/>
              </w:rPr>
            </w:pPr>
            <w:r w:rsidRPr="003E056B">
              <w:rPr>
                <w:color w:val="808080"/>
                <w:sz w:val="16"/>
                <w:szCs w:val="16"/>
                <w:lang w:val="en-GB"/>
              </w:rPr>
              <w:t>Andalusia as a paradigm of audiovisual management: stakeholders and the centrality of film shoots</w:t>
            </w:r>
          </w:p>
          <w:p w14:paraId="591A4383" w14:textId="77777777" w:rsidR="00836639" w:rsidRPr="003E056B" w:rsidRDefault="00000000">
            <w:pPr>
              <w:widowControl/>
              <w:numPr>
                <w:ilvl w:val="1"/>
                <w:numId w:val="2"/>
              </w:numPr>
              <w:pBdr>
                <w:top w:val="nil"/>
                <w:left w:val="nil"/>
                <w:bottom w:val="nil"/>
                <w:right w:val="nil"/>
                <w:between w:val="nil"/>
              </w:pBdr>
              <w:tabs>
                <w:tab w:val="left" w:pos="319"/>
              </w:tabs>
              <w:spacing w:before="1" w:line="199" w:lineRule="auto"/>
              <w:ind w:left="319" w:right="36" w:hanging="284"/>
              <w:rPr>
                <w:sz w:val="16"/>
                <w:szCs w:val="16"/>
                <w:lang w:val="en-GB"/>
              </w:rPr>
            </w:pPr>
            <w:r w:rsidRPr="003E056B">
              <w:rPr>
                <w:color w:val="808080"/>
                <w:sz w:val="16"/>
                <w:szCs w:val="16"/>
                <w:lang w:val="en-GB"/>
              </w:rPr>
              <w:t>Audiovisual ecosystem of the Valencian Community (2012–2025): from institutional disruption to polycentric reconstruction</w:t>
            </w:r>
          </w:p>
          <w:p w14:paraId="5F9CE65C" w14:textId="77777777" w:rsidR="00836639" w:rsidRDefault="00000000">
            <w:pPr>
              <w:widowControl/>
              <w:numPr>
                <w:ilvl w:val="0"/>
                <w:numId w:val="2"/>
              </w:numPr>
              <w:pBdr>
                <w:top w:val="nil"/>
                <w:left w:val="nil"/>
                <w:bottom w:val="nil"/>
                <w:right w:val="nil"/>
                <w:between w:val="nil"/>
              </w:pBdr>
              <w:spacing w:line="173" w:lineRule="auto"/>
              <w:ind w:left="169" w:right="36" w:hanging="142"/>
              <w:rPr>
                <w:color w:val="000000"/>
                <w:sz w:val="16"/>
                <w:szCs w:val="16"/>
              </w:rPr>
            </w:pPr>
            <w:proofErr w:type="spellStart"/>
            <w:r>
              <w:rPr>
                <w:color w:val="808080"/>
                <w:sz w:val="16"/>
                <w:szCs w:val="16"/>
              </w:rPr>
              <w:t>Discussion</w:t>
            </w:r>
            <w:proofErr w:type="spellEnd"/>
            <w:r>
              <w:rPr>
                <w:color w:val="808080"/>
                <w:sz w:val="16"/>
                <w:szCs w:val="16"/>
              </w:rPr>
              <w:t xml:space="preserve"> and </w:t>
            </w:r>
            <w:proofErr w:type="spellStart"/>
            <w:r>
              <w:rPr>
                <w:color w:val="808080"/>
                <w:sz w:val="16"/>
                <w:szCs w:val="16"/>
              </w:rPr>
              <w:t>conclusions</w:t>
            </w:r>
            <w:proofErr w:type="spellEnd"/>
          </w:p>
          <w:p w14:paraId="213E353C" w14:textId="77777777" w:rsidR="00836639" w:rsidRDefault="00000000">
            <w:pPr>
              <w:widowControl/>
              <w:numPr>
                <w:ilvl w:val="0"/>
                <w:numId w:val="2"/>
              </w:numPr>
              <w:pBdr>
                <w:top w:val="nil"/>
                <w:left w:val="nil"/>
                <w:bottom w:val="nil"/>
                <w:right w:val="nil"/>
                <w:between w:val="nil"/>
              </w:pBdr>
              <w:spacing w:line="198" w:lineRule="auto"/>
              <w:ind w:left="169" w:right="36" w:hanging="142"/>
              <w:rPr>
                <w:color w:val="000000"/>
                <w:sz w:val="16"/>
                <w:szCs w:val="16"/>
              </w:rPr>
            </w:pPr>
            <w:proofErr w:type="spellStart"/>
            <w:r>
              <w:rPr>
                <w:color w:val="808080"/>
                <w:sz w:val="16"/>
                <w:szCs w:val="16"/>
              </w:rPr>
              <w:t>Bibliography</w:t>
            </w:r>
            <w:proofErr w:type="spellEnd"/>
          </w:p>
          <w:p w14:paraId="6A8D0228" w14:textId="77777777" w:rsidR="00836639" w:rsidRPr="003E056B" w:rsidRDefault="00000000">
            <w:pPr>
              <w:widowControl/>
              <w:numPr>
                <w:ilvl w:val="0"/>
                <w:numId w:val="2"/>
              </w:numPr>
              <w:pBdr>
                <w:top w:val="nil"/>
                <w:left w:val="nil"/>
                <w:bottom w:val="nil"/>
                <w:right w:val="nil"/>
                <w:between w:val="nil"/>
              </w:pBdr>
              <w:spacing w:line="198" w:lineRule="auto"/>
              <w:ind w:left="169" w:right="36" w:hanging="142"/>
              <w:rPr>
                <w:color w:val="808080"/>
                <w:sz w:val="16"/>
                <w:szCs w:val="16"/>
                <w:lang w:val="en-GB"/>
              </w:rPr>
            </w:pPr>
            <w:r w:rsidRPr="003E056B">
              <w:rPr>
                <w:color w:val="808080"/>
                <w:sz w:val="16"/>
                <w:szCs w:val="16"/>
                <w:lang w:val="en-GB"/>
              </w:rPr>
              <w:t>Appendix I. Bibliographic references for Table 1</w:t>
            </w:r>
          </w:p>
          <w:p w14:paraId="3E989DAF" w14:textId="77777777" w:rsidR="00836639" w:rsidRDefault="00000000">
            <w:pPr>
              <w:widowControl/>
              <w:numPr>
                <w:ilvl w:val="0"/>
                <w:numId w:val="2"/>
              </w:numPr>
              <w:pBdr>
                <w:top w:val="nil"/>
                <w:left w:val="nil"/>
                <w:bottom w:val="nil"/>
                <w:right w:val="nil"/>
                <w:between w:val="nil"/>
              </w:pBdr>
              <w:spacing w:line="198" w:lineRule="auto"/>
              <w:ind w:left="169" w:right="36" w:hanging="142"/>
              <w:rPr>
                <w:color w:val="808080"/>
                <w:sz w:val="16"/>
                <w:szCs w:val="16"/>
              </w:rPr>
            </w:pPr>
            <w:proofErr w:type="spellStart"/>
            <w:r>
              <w:rPr>
                <w:color w:val="808080"/>
                <w:sz w:val="16"/>
                <w:szCs w:val="16"/>
              </w:rPr>
              <w:t>Financing</w:t>
            </w:r>
            <w:proofErr w:type="spellEnd"/>
          </w:p>
          <w:p w14:paraId="7FE624A7" w14:textId="77777777" w:rsidR="00836639" w:rsidRDefault="00836639">
            <w:pPr>
              <w:widowControl/>
              <w:spacing w:before="177" w:line="204" w:lineRule="auto"/>
              <w:ind w:left="169" w:hanging="142"/>
              <w:rPr>
                <w:b/>
                <w:bCs/>
                <w:sz w:val="18"/>
                <w:szCs w:val="18"/>
              </w:rPr>
            </w:pPr>
          </w:p>
        </w:tc>
        <w:tc>
          <w:tcPr>
            <w:tcW w:w="4678" w:type="dxa"/>
          </w:tcPr>
          <w:p w14:paraId="3B1911F4" w14:textId="77777777" w:rsidR="00836639" w:rsidRDefault="00836639">
            <w:pPr>
              <w:widowControl/>
              <w:spacing w:line="204" w:lineRule="auto"/>
              <w:jc w:val="both"/>
              <w:rPr>
                <w:sz w:val="18"/>
                <w:szCs w:val="18"/>
              </w:rPr>
            </w:pPr>
          </w:p>
          <w:p w14:paraId="4BD29E13" w14:textId="77777777" w:rsidR="00836639" w:rsidRDefault="00836639">
            <w:pPr>
              <w:widowControl/>
              <w:spacing w:line="204" w:lineRule="auto"/>
              <w:jc w:val="both"/>
              <w:rPr>
                <w:sz w:val="18"/>
                <w:szCs w:val="18"/>
              </w:rPr>
            </w:pPr>
          </w:p>
          <w:p w14:paraId="6A070FF9" w14:textId="77777777" w:rsidR="00836639" w:rsidRDefault="00836639">
            <w:pPr>
              <w:widowControl/>
              <w:spacing w:line="204" w:lineRule="auto"/>
              <w:jc w:val="both"/>
              <w:rPr>
                <w:sz w:val="18"/>
                <w:szCs w:val="18"/>
              </w:rPr>
            </w:pPr>
          </w:p>
          <w:p w14:paraId="2BFCB1D4" w14:textId="77777777" w:rsidR="00836639" w:rsidRDefault="00836639">
            <w:pPr>
              <w:widowControl/>
              <w:spacing w:line="204" w:lineRule="auto"/>
              <w:jc w:val="both"/>
              <w:rPr>
                <w:sz w:val="18"/>
                <w:szCs w:val="18"/>
              </w:rPr>
            </w:pPr>
          </w:p>
          <w:p w14:paraId="183EDAD9" w14:textId="77777777" w:rsidR="00836639" w:rsidRDefault="00836639">
            <w:pPr>
              <w:widowControl/>
              <w:spacing w:line="204" w:lineRule="auto"/>
              <w:jc w:val="both"/>
              <w:rPr>
                <w:sz w:val="18"/>
                <w:szCs w:val="18"/>
              </w:rPr>
            </w:pPr>
          </w:p>
          <w:p w14:paraId="3E5E7F96" w14:textId="77777777" w:rsidR="00836639" w:rsidRDefault="00000000">
            <w:pPr>
              <w:widowControl/>
              <w:spacing w:line="204" w:lineRule="auto"/>
              <w:jc w:val="both"/>
              <w:rPr>
                <w:sz w:val="18"/>
                <w:szCs w:val="18"/>
              </w:rPr>
            </w:pPr>
            <w:proofErr w:type="spellStart"/>
            <w:r>
              <w:rPr>
                <w:b/>
                <w:bCs/>
                <w:sz w:val="18"/>
                <w:szCs w:val="18"/>
              </w:rPr>
              <w:t>Abstract</w:t>
            </w:r>
            <w:proofErr w:type="spellEnd"/>
          </w:p>
          <w:p w14:paraId="4A5185A4" w14:textId="77777777" w:rsidR="00836639" w:rsidRDefault="00836639">
            <w:pPr>
              <w:widowControl/>
              <w:spacing w:line="204" w:lineRule="auto"/>
              <w:jc w:val="both"/>
              <w:rPr>
                <w:sz w:val="18"/>
                <w:szCs w:val="18"/>
              </w:rPr>
            </w:pPr>
          </w:p>
          <w:p w14:paraId="3480D0DA" w14:textId="77777777" w:rsidR="00836639" w:rsidRPr="003E056B" w:rsidRDefault="00000000">
            <w:pPr>
              <w:widowControl/>
              <w:spacing w:line="204" w:lineRule="auto"/>
              <w:jc w:val="both"/>
              <w:rPr>
                <w:sz w:val="18"/>
                <w:szCs w:val="18"/>
                <w:lang w:val="en-GB"/>
              </w:rPr>
            </w:pPr>
            <w:r w:rsidRPr="003E056B">
              <w:rPr>
                <w:sz w:val="18"/>
                <w:szCs w:val="18"/>
                <w:lang w:val="en-GB"/>
              </w:rPr>
              <w:t xml:space="preserve">The expansion of OTT platforms has reshaped audiovisual production and shifted competition for projects to the intersection of governance, incentive design, and service/infrastructure capacity. This article examines the institutional and operational configuration of the Valencian Community between 2012 and 2025 and contrasts its performance with the Andalusian case, </w:t>
            </w:r>
            <w:proofErr w:type="gramStart"/>
            <w:r w:rsidRPr="003E056B">
              <w:rPr>
                <w:sz w:val="18"/>
                <w:szCs w:val="18"/>
                <w:lang w:val="en-GB"/>
              </w:rPr>
              <w:t>in order to</w:t>
            </w:r>
            <w:proofErr w:type="gramEnd"/>
            <w:r w:rsidRPr="003E056B">
              <w:rPr>
                <w:sz w:val="18"/>
                <w:szCs w:val="18"/>
                <w:lang w:val="en-GB"/>
              </w:rPr>
              <w:t xml:space="preserve"> identify transferable levers to attract and retain productions. Methodologically, we conduct a case study combining documentary and comparative analysis, benchmarking of instruments (incentives, one-stop services and film office/film commission networks), source triangulation, and pattern matching. Findings indicate that Andalusia consistently integrates three pillars (governance, financial and operational capacities, and measurement) through an autonomous umbrella with a formalized network, regular funding calls, standardized procedures, and annual reporting. In the Valencian Community, the reopening of Ciudad de la Luz and the rollout of a regional Film Commission coexist with room for improvement in integration, standardization, and evaluation. We conclude with actionable recommendations: consolidate a single point of reference, coordinate funding windows with stable calendars, standardize inter-municipal procedures, and establish an observatory with KPIs and SLAs to enable continuous monitoring and policy learning.</w:t>
            </w:r>
          </w:p>
        </w:tc>
      </w:tr>
    </w:tbl>
    <w:p w14:paraId="3BFDCEFD" w14:textId="77777777" w:rsidR="00836639" w:rsidRPr="003E056B" w:rsidRDefault="00000000">
      <w:pPr>
        <w:widowControl/>
        <w:spacing w:before="177" w:line="204" w:lineRule="auto"/>
        <w:ind w:left="660"/>
        <w:jc w:val="both"/>
        <w:rPr>
          <w:b/>
          <w:bCs/>
          <w:sz w:val="18"/>
          <w:szCs w:val="18"/>
          <w:lang w:val="en-GB"/>
        </w:rPr>
      </w:pPr>
      <w:r w:rsidRPr="003E056B">
        <w:rPr>
          <w:b/>
          <w:bCs/>
          <w:sz w:val="18"/>
          <w:szCs w:val="18"/>
          <w:lang w:val="en-GB"/>
        </w:rPr>
        <w:t>Keywords</w:t>
      </w:r>
    </w:p>
    <w:p w14:paraId="12FA9D93" w14:textId="77777777" w:rsidR="00836639" w:rsidRPr="003E056B" w:rsidRDefault="00000000">
      <w:pPr>
        <w:widowControl/>
        <w:spacing w:before="9" w:line="199" w:lineRule="auto"/>
        <w:ind w:left="660" w:right="134"/>
        <w:jc w:val="both"/>
        <w:rPr>
          <w:sz w:val="18"/>
          <w:szCs w:val="18"/>
          <w:lang w:val="en-GB"/>
        </w:rPr>
        <w:sectPr w:rsidR="00836639" w:rsidRPr="003E056B">
          <w:headerReference w:type="even" r:id="rId11"/>
          <w:headerReference w:type="default" r:id="rId12"/>
          <w:footerReference w:type="even" r:id="rId13"/>
          <w:footerReference w:type="default" r:id="rId14"/>
          <w:headerReference w:type="first" r:id="rId15"/>
          <w:footerReference w:type="first" r:id="rId16"/>
          <w:pgSz w:w="9640" w:h="13610"/>
          <w:pgMar w:top="1480" w:right="1000" w:bottom="2120" w:left="1040" w:header="1148" w:footer="1931" w:gutter="0"/>
          <w:pgNumType w:start="1"/>
          <w:cols w:space="720"/>
        </w:sectPr>
      </w:pPr>
      <w:r w:rsidRPr="003E056B">
        <w:rPr>
          <w:sz w:val="18"/>
          <w:szCs w:val="18"/>
          <w:lang w:val="en-GB"/>
        </w:rPr>
        <w:t>“Andalusia”; “Audiovisual Industry”; “Governance”; “Stakeholders”; “Tax incentives”; “Valencian Community”</w:t>
      </w:r>
    </w:p>
    <w:p w14:paraId="337BC5D4" w14:textId="77777777" w:rsidR="00836639" w:rsidRDefault="00000000">
      <w:pPr>
        <w:pStyle w:val="Ttulo1"/>
        <w:widowControl/>
        <w:numPr>
          <w:ilvl w:val="0"/>
          <w:numId w:val="1"/>
        </w:numPr>
        <w:spacing w:after="80"/>
        <w:rPr>
          <w:rFonts w:ascii="Garamond" w:eastAsia="Garamond" w:hAnsi="Garamond" w:cs="Garamond"/>
          <w:b/>
          <w:bCs/>
          <w:color w:val="8E1400"/>
        </w:rPr>
      </w:pPr>
      <w:proofErr w:type="spellStart"/>
      <w:r>
        <w:rPr>
          <w:rFonts w:ascii="Garamond" w:eastAsia="Garamond" w:hAnsi="Garamond" w:cs="Garamond"/>
          <w:b/>
          <w:bCs/>
          <w:color w:val="8E1400"/>
        </w:rPr>
        <w:lastRenderedPageBreak/>
        <w:t>Introduction</w:t>
      </w:r>
      <w:proofErr w:type="spellEnd"/>
    </w:p>
    <w:p w14:paraId="2E611D0D" w14:textId="77777777" w:rsidR="00836639" w:rsidRDefault="00836639">
      <w:pPr>
        <w:widowControl/>
        <w:pBdr>
          <w:top w:val="nil"/>
          <w:left w:val="nil"/>
          <w:bottom w:val="nil"/>
          <w:right w:val="nil"/>
          <w:between w:val="nil"/>
        </w:pBdr>
        <w:spacing w:after="80"/>
        <w:ind w:left="567"/>
        <w:rPr>
          <w:color w:val="000000"/>
          <w:sz w:val="20"/>
          <w:szCs w:val="20"/>
        </w:rPr>
      </w:pPr>
    </w:p>
    <w:p w14:paraId="5EA436B1"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 xml:space="preserve">Over the last decade, the implementation of over-the-top platforms (henceforth, OTT) has reconfigured the parameters of audiovisual production and the logic of media programming and consumption (Izquierdo-Castillo &amp; Latorre-Lázaro, 2022, p. 2). Furthermore, it has precipitated a reordering of governance models and driven regulatory and fiscal adjustments oriented towards video-on-demand services (Vlassis, 2023, p. 1515). Within this framework, the practice and organisational architecture of film offices (henceforth, FO) and film commissions (henceforth, FC) have been challenged; in addition to facilitating management for production companies, these entities must reconcile advice on accessing incentives with the incorporation of sustainability criteria in film shoots (Rajas, Paz-Gil &amp; </w:t>
      </w:r>
      <w:proofErr w:type="spellStart"/>
      <w:r w:rsidRPr="003E056B">
        <w:rPr>
          <w:sz w:val="20"/>
          <w:szCs w:val="20"/>
          <w:lang w:val="en-GB"/>
        </w:rPr>
        <w:t>Gértrudix</w:t>
      </w:r>
      <w:proofErr w:type="spellEnd"/>
      <w:r w:rsidRPr="003E056B">
        <w:rPr>
          <w:sz w:val="20"/>
          <w:szCs w:val="20"/>
          <w:lang w:val="en-GB"/>
        </w:rPr>
        <w:t>-Barrio, 2025, p. 188).</w:t>
      </w:r>
    </w:p>
    <w:p w14:paraId="5CD2FC44"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25249FFC"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This article examines the institutional and operational fit of audiovisual production in the Valencian Community during the streaming era. It adopts an applied comparative approach: taking Andalusia as a reference for an advanced articulation of public production policies and contrasting that model with the Valencian case. The analysis is organised around three aspects: 1) governance, visible in the management of the FO network and the transition from Valencia Region Film (henceforth, VRF) towards a regional FC; 2) capabilities, which combine promotion, incentives, and co-investment with the soft and hard infrastructure of the territory, with particular attention to the Ciudad de la Luz (henceforth, CDL); and 3) measurement, based on indicators and public monitoring reports. The objective is to define a governance model and identify competitiveness levers that allow for the attraction and retention of international projects and, thereby, the strengthening of the local industry.</w:t>
      </w:r>
    </w:p>
    <w:p w14:paraId="091A53E0"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52107D3C"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The period of analysis, between May 2012 and September 2025, is based on a sequence of milestones that structures the case: the closure of the CDL in 2012 and the Valencian regional broadcasting corporation in 2013; the creation of Film València and the Costa Blanca Film Commission (henceforth, CBFC) in 2017; the constitution of the VRF in 2019; the reopening of the CDL in 2022; and the announcement, from 2023 onwards, of the composition of the regional FC. This period is also explained by regulatory and sectoral transformations of a broader scope, such as the European Commission Communication on state aid for cinematographic and other audiovisual works in 2013, the emergence and consolidation of OTTs in Spain between 2015-2020, and the approvals of Law 27/2014 on Corporate Income Tax (henceforth, LIS)—with amendments in 2017 and 2020—and Law 13/2022, the General Audiovisual Communication Law.</w:t>
      </w:r>
    </w:p>
    <w:p w14:paraId="5DA13DDD" w14:textId="77777777" w:rsidR="00836639" w:rsidRPr="003E056B" w:rsidRDefault="00836639">
      <w:pPr>
        <w:widowControl/>
        <w:pBdr>
          <w:top w:val="nil"/>
          <w:left w:val="nil"/>
          <w:bottom w:val="nil"/>
          <w:right w:val="nil"/>
          <w:between w:val="nil"/>
        </w:pBdr>
        <w:spacing w:after="80"/>
        <w:ind w:right="668"/>
        <w:jc w:val="both"/>
        <w:rPr>
          <w:color w:val="231F20"/>
          <w:sz w:val="20"/>
          <w:szCs w:val="20"/>
          <w:lang w:val="en-GB"/>
        </w:rPr>
      </w:pPr>
    </w:p>
    <w:p w14:paraId="0DCF23AD" w14:textId="1C26179A" w:rsidR="00836639" w:rsidRDefault="003E056B">
      <w:pPr>
        <w:pStyle w:val="Ttulo1"/>
        <w:widowControl/>
        <w:numPr>
          <w:ilvl w:val="0"/>
          <w:numId w:val="1"/>
        </w:numPr>
        <w:spacing w:after="80"/>
        <w:rPr>
          <w:rFonts w:ascii="Garamond" w:eastAsia="Garamond" w:hAnsi="Garamond" w:cs="Garamond"/>
          <w:b/>
          <w:bCs/>
          <w:color w:val="98361E"/>
        </w:rPr>
      </w:pPr>
      <w:proofErr w:type="spellStart"/>
      <w:r>
        <w:rPr>
          <w:rFonts w:ascii="Garamond" w:eastAsia="Garamond" w:hAnsi="Garamond" w:cs="Garamond"/>
          <w:b/>
          <w:bCs/>
          <w:color w:val="98361E"/>
        </w:rPr>
        <w:t>Literature</w:t>
      </w:r>
      <w:proofErr w:type="spellEnd"/>
      <w:r>
        <w:rPr>
          <w:rFonts w:ascii="Garamond" w:eastAsia="Garamond" w:hAnsi="Garamond" w:cs="Garamond"/>
          <w:b/>
          <w:bCs/>
          <w:color w:val="98361E"/>
        </w:rPr>
        <w:t xml:space="preserve"> </w:t>
      </w:r>
      <w:proofErr w:type="spellStart"/>
      <w:r>
        <w:rPr>
          <w:rFonts w:ascii="Garamond" w:eastAsia="Garamond" w:hAnsi="Garamond" w:cs="Garamond"/>
          <w:b/>
          <w:bCs/>
          <w:color w:val="98361E"/>
        </w:rPr>
        <w:t>review</w:t>
      </w:r>
      <w:proofErr w:type="spellEnd"/>
      <w:r w:rsidR="00000000">
        <w:rPr>
          <w:rFonts w:ascii="Garamond" w:eastAsia="Garamond" w:hAnsi="Garamond" w:cs="Garamond"/>
          <w:b/>
          <w:bCs/>
          <w:color w:val="98361E"/>
        </w:rPr>
        <w:t xml:space="preserve"> and </w:t>
      </w:r>
      <w:proofErr w:type="spellStart"/>
      <w:r w:rsidR="00000000">
        <w:rPr>
          <w:rFonts w:ascii="Garamond" w:eastAsia="Garamond" w:hAnsi="Garamond" w:cs="Garamond"/>
          <w:b/>
          <w:bCs/>
          <w:color w:val="98361E"/>
        </w:rPr>
        <w:t>background</w:t>
      </w:r>
      <w:proofErr w:type="spellEnd"/>
    </w:p>
    <w:p w14:paraId="5E9855E6" w14:textId="77777777" w:rsidR="00836639" w:rsidRDefault="00836639">
      <w:pPr>
        <w:pStyle w:val="Ttulo1"/>
        <w:widowControl/>
        <w:spacing w:after="80"/>
        <w:ind w:firstLine="904"/>
        <w:rPr>
          <w:rFonts w:ascii="Garamond" w:eastAsia="Garamond" w:hAnsi="Garamond" w:cs="Garamond"/>
          <w:b/>
          <w:bCs/>
          <w:color w:val="98361E"/>
          <w:sz w:val="20"/>
          <w:szCs w:val="20"/>
        </w:rPr>
      </w:pPr>
    </w:p>
    <w:p w14:paraId="15243F49" w14:textId="77777777" w:rsidR="00836639" w:rsidRPr="003E056B" w:rsidRDefault="00000000">
      <w:pPr>
        <w:pStyle w:val="Ttulo2"/>
        <w:widowControl/>
        <w:ind w:left="850"/>
        <w:rPr>
          <w:lang w:val="en-GB"/>
        </w:rPr>
      </w:pPr>
      <w:bookmarkStart w:id="0" w:name="_heading=h.u0jotpyaeln0" w:colFirst="0" w:colLast="0"/>
      <w:bookmarkEnd w:id="0"/>
      <w:r w:rsidRPr="003E056B">
        <w:rPr>
          <w:lang w:val="en-GB"/>
        </w:rPr>
        <w:t>2.1. OTT platforms: from programming schedules to portals and on-demand programming</w:t>
      </w:r>
    </w:p>
    <w:p w14:paraId="2A9C881F" w14:textId="77777777" w:rsidR="00836639" w:rsidRPr="003E056B" w:rsidRDefault="00836639">
      <w:pPr>
        <w:pStyle w:val="Ttulo1"/>
        <w:widowControl/>
        <w:spacing w:after="80"/>
        <w:ind w:right="370" w:firstLine="904"/>
        <w:jc w:val="both"/>
        <w:rPr>
          <w:rFonts w:ascii="Garamond" w:eastAsia="Garamond" w:hAnsi="Garamond" w:cs="Garamond"/>
          <w:color w:val="98361E"/>
          <w:sz w:val="20"/>
          <w:szCs w:val="20"/>
          <w:lang w:val="en-GB"/>
        </w:rPr>
      </w:pPr>
    </w:p>
    <w:p w14:paraId="521ED45E" w14:textId="77777777" w:rsidR="00836639" w:rsidRPr="003E056B" w:rsidRDefault="00000000">
      <w:pPr>
        <w:widowControl/>
        <w:spacing w:after="80"/>
        <w:ind w:left="426" w:right="370"/>
        <w:jc w:val="both"/>
        <w:rPr>
          <w:color w:val="231F20"/>
          <w:sz w:val="20"/>
          <w:szCs w:val="20"/>
          <w:lang w:val="en-GB"/>
        </w:rPr>
      </w:pPr>
      <w:r w:rsidRPr="003E056B">
        <w:rPr>
          <w:color w:val="231F20"/>
          <w:sz w:val="20"/>
          <w:szCs w:val="20"/>
          <w:lang w:val="en-GB"/>
        </w:rPr>
        <w:lastRenderedPageBreak/>
        <w:t>The expansion of OTT services has shifted the audiovisual centre of gravity from the logic of the broadcast schedule towards '</w:t>
      </w:r>
      <w:proofErr w:type="spellStart"/>
      <w:r w:rsidRPr="003E056B">
        <w:rPr>
          <w:color w:val="231F20"/>
          <w:sz w:val="20"/>
          <w:szCs w:val="20"/>
          <w:lang w:val="en-GB"/>
        </w:rPr>
        <w:t>portalisation</w:t>
      </w:r>
      <w:proofErr w:type="spellEnd"/>
      <w:r w:rsidRPr="003E056B">
        <w:rPr>
          <w:color w:val="231F20"/>
          <w:sz w:val="20"/>
          <w:szCs w:val="20"/>
          <w:lang w:val="en-GB"/>
        </w:rPr>
        <w:t>': subscription-accessible catalogues, global circulation, and data-driven distribution that reorders functions, timelines, and professional profiles. Platforms operate as portals that "collect, curate, and distribute television programming via the internet" (Lotz, 2017, p. 8) and differ from conventional channels by their non-linear nature, which allows them to focus content programming within the interface. Jenner (2023, p. 34) conceptualises this transition as a process of television reinvention, from the TV III stage to TV IV, with Netflix as a paradigmatic, though not exclusive, case.</w:t>
      </w:r>
    </w:p>
    <w:p w14:paraId="03C60274" w14:textId="77777777" w:rsidR="00836639" w:rsidRPr="003E056B" w:rsidRDefault="00836639">
      <w:pPr>
        <w:widowControl/>
        <w:spacing w:after="80"/>
        <w:ind w:left="426" w:right="370"/>
        <w:jc w:val="both"/>
        <w:rPr>
          <w:color w:val="231F20"/>
          <w:sz w:val="20"/>
          <w:szCs w:val="20"/>
          <w:lang w:val="en-GB"/>
        </w:rPr>
      </w:pPr>
    </w:p>
    <w:p w14:paraId="5E58C99F" w14:textId="77777777" w:rsidR="00836639" w:rsidRPr="003E056B" w:rsidRDefault="00000000">
      <w:pPr>
        <w:widowControl/>
        <w:spacing w:after="80"/>
        <w:ind w:left="426" w:right="370"/>
        <w:jc w:val="both"/>
        <w:rPr>
          <w:color w:val="231F20"/>
          <w:sz w:val="20"/>
          <w:szCs w:val="20"/>
          <w:lang w:val="en-GB"/>
        </w:rPr>
      </w:pPr>
      <w:r w:rsidRPr="003E056B">
        <w:rPr>
          <w:color w:val="231F20"/>
          <w:sz w:val="20"/>
          <w:szCs w:val="20"/>
          <w:lang w:val="en-GB"/>
        </w:rPr>
        <w:t xml:space="preserve">More recently, production studies have provided data on streaming labour, despite the frequent information opacity of internal metrics, offering a European perspective on how creative teams interact with indicators and thresholds that condition the formal approval of projects (Rasmussen, 2024, p. 5245; </w:t>
      </w:r>
      <w:proofErr w:type="spellStart"/>
      <w:r w:rsidRPr="003E056B">
        <w:rPr>
          <w:color w:val="231F20"/>
          <w:sz w:val="20"/>
          <w:szCs w:val="20"/>
          <w:lang w:val="en-GB"/>
        </w:rPr>
        <w:t>Idiz</w:t>
      </w:r>
      <w:proofErr w:type="spellEnd"/>
      <w:r w:rsidRPr="003E056B">
        <w:rPr>
          <w:color w:val="231F20"/>
          <w:sz w:val="20"/>
          <w:szCs w:val="20"/>
          <w:lang w:val="en-GB"/>
        </w:rPr>
        <w:t>, 2024, p. 2136). This ecosystem shifts the competition for projects towards the intersection of governance and regulation, incentive design, and service and infrastructure capacity (FO, FC, and film studios)—the framework from which the Valencian case is approached.</w:t>
      </w:r>
    </w:p>
    <w:p w14:paraId="0F3BBC6B" w14:textId="77777777" w:rsidR="00836639" w:rsidRPr="003E056B" w:rsidRDefault="00836639">
      <w:pPr>
        <w:widowControl/>
        <w:pBdr>
          <w:top w:val="nil"/>
          <w:left w:val="nil"/>
          <w:bottom w:val="nil"/>
          <w:right w:val="nil"/>
          <w:between w:val="nil"/>
        </w:pBdr>
        <w:spacing w:after="80"/>
        <w:ind w:right="370"/>
        <w:jc w:val="both"/>
        <w:rPr>
          <w:sz w:val="20"/>
          <w:szCs w:val="20"/>
          <w:lang w:val="en-GB"/>
        </w:rPr>
      </w:pPr>
    </w:p>
    <w:p w14:paraId="01B81EAE" w14:textId="77777777" w:rsidR="00836639" w:rsidRPr="003E056B" w:rsidRDefault="00000000">
      <w:pPr>
        <w:pStyle w:val="Ttulo2"/>
        <w:widowControl/>
        <w:ind w:left="900"/>
        <w:rPr>
          <w:sz w:val="20"/>
          <w:szCs w:val="20"/>
          <w:lang w:val="en-GB"/>
        </w:rPr>
      </w:pPr>
      <w:bookmarkStart w:id="1" w:name="_heading=h.xixwhdlgkjny" w:colFirst="0" w:colLast="0"/>
      <w:bookmarkEnd w:id="1"/>
      <w:r w:rsidRPr="003E056B">
        <w:rPr>
          <w:lang w:val="en-GB"/>
        </w:rPr>
        <w:t>2.2. Multilevel governance of audiovisual media in the streaming era</w:t>
      </w:r>
    </w:p>
    <w:p w14:paraId="0F7DA978"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62DB132C"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The European Audiovisual Media Services Directive and its 2018 revision reinforce the obligations of on-demand audiovisual media services and incorporate video-sharing platforms into the common framework. The text empowers Member States to establish, among other measures, a minimum quota of 30% for European works in catalogues, ensure their prominence on interfaces (preferential visibility and accessibility), and set financial contribution obligations for European production (European Parliament &amp; Council of the European Union, 2018, pp. 74 and 86). These competencies are deployed within a multi-level governance scheme (EU-State-regions-municipalities) with margins for national adaptation.</w:t>
      </w:r>
    </w:p>
    <w:p w14:paraId="097B60C5"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5D3C1A9D"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In Spain, Law 13/2022, the General Audiovisual Communication Law, transposes this framework and adapts the quota, prominence, and financial contribution measures to the domestic legal order, while distinguishing between linear on-demand services and video-sharing platform services, with differentiated obligations (</w:t>
      </w:r>
      <w:proofErr w:type="spellStart"/>
      <w:r w:rsidRPr="003E056B">
        <w:rPr>
          <w:sz w:val="20"/>
          <w:szCs w:val="20"/>
          <w:lang w:val="en-GB"/>
        </w:rPr>
        <w:t>Jefatura</w:t>
      </w:r>
      <w:proofErr w:type="spellEnd"/>
      <w:r w:rsidRPr="003E056B">
        <w:rPr>
          <w:sz w:val="20"/>
          <w:szCs w:val="20"/>
          <w:lang w:val="en-GB"/>
        </w:rPr>
        <w:t xml:space="preserve"> del Estado, 2022, pp. 52-53). Its application is articulated between state and regional authorities, with the National Commission on Markets and Competition (CNMC) as the competent body at the national level, and it leaves room for the specification of regional promotion policies within the limits of European regulations on State aid. Based on this regulation, we will examine the economic policy instruments, particularly fiscal and financial incentives, and their role in territorial competition for film shoots.</w:t>
      </w:r>
    </w:p>
    <w:p w14:paraId="65D5E9F3" w14:textId="77777777" w:rsidR="00836639" w:rsidRPr="003E056B" w:rsidRDefault="00836639">
      <w:pPr>
        <w:widowControl/>
        <w:pBdr>
          <w:top w:val="nil"/>
          <w:left w:val="nil"/>
          <w:bottom w:val="nil"/>
          <w:right w:val="nil"/>
          <w:between w:val="nil"/>
        </w:pBdr>
        <w:spacing w:after="80"/>
        <w:ind w:right="370"/>
        <w:jc w:val="both"/>
        <w:rPr>
          <w:sz w:val="20"/>
          <w:szCs w:val="20"/>
          <w:lang w:val="en-GB"/>
        </w:rPr>
      </w:pPr>
    </w:p>
    <w:p w14:paraId="5A7D0537" w14:textId="77777777" w:rsidR="00836639" w:rsidRPr="003E056B" w:rsidRDefault="00000000" w:rsidP="003E056B">
      <w:pPr>
        <w:pStyle w:val="Ttulo2"/>
        <w:widowControl/>
        <w:rPr>
          <w:sz w:val="20"/>
          <w:szCs w:val="20"/>
          <w:lang w:val="en-GB"/>
        </w:rPr>
      </w:pPr>
      <w:bookmarkStart w:id="2" w:name="_heading=h.owv5w3dui6cq" w:colFirst="0" w:colLast="0"/>
      <w:bookmarkEnd w:id="2"/>
      <w:r w:rsidRPr="003E056B">
        <w:rPr>
          <w:lang w:val="en-GB"/>
        </w:rPr>
        <w:t>2.3. Production incentives and territorial competition</w:t>
      </w:r>
    </w:p>
    <w:p w14:paraId="093DE514"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2689D86E"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lastRenderedPageBreak/>
        <w:t xml:space="preserve">Incentives for audiovisual production (tax credits or deductions, cash rebates, and selective grants) operate as economic policy instruments aimed at attracting or retaining film shoots and strengthening the industrial and employment base (Christopherson &amp; </w:t>
      </w:r>
      <w:proofErr w:type="spellStart"/>
      <w:r w:rsidRPr="003E056B">
        <w:rPr>
          <w:sz w:val="20"/>
          <w:szCs w:val="20"/>
          <w:lang w:val="en-GB"/>
        </w:rPr>
        <w:t>Rightor</w:t>
      </w:r>
      <w:proofErr w:type="spellEnd"/>
      <w:r w:rsidRPr="003E056B">
        <w:rPr>
          <w:sz w:val="20"/>
          <w:szCs w:val="20"/>
          <w:lang w:val="en-GB"/>
        </w:rPr>
        <w:t xml:space="preserve">, 2010, p. 347). Within the European sphere, their design and application are framed within State aid policy and, specifically, the Commission Communication on state aid for films and other audiovisual works, which sets cultural eligibility criteria, expenditure territorialisation limits, and aid intensity caps (European Commission, 2013a, pp. 4-10). This framework allows States, and in some cases subnational levels, to adapt schemes to their productive structure, </w:t>
      </w:r>
      <w:proofErr w:type="gramStart"/>
      <w:r w:rsidRPr="003E056B">
        <w:rPr>
          <w:sz w:val="20"/>
          <w:szCs w:val="20"/>
          <w:lang w:val="en-GB"/>
        </w:rPr>
        <w:t>provided that</w:t>
      </w:r>
      <w:proofErr w:type="gramEnd"/>
      <w:r w:rsidRPr="003E056B">
        <w:rPr>
          <w:sz w:val="20"/>
          <w:szCs w:val="20"/>
          <w:lang w:val="en-GB"/>
        </w:rPr>
        <w:t xml:space="preserve"> competition and the objective of promoting European works are preserved.</w:t>
      </w:r>
    </w:p>
    <w:p w14:paraId="1140B53A"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7A752D8F"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 xml:space="preserve">For comparative purposes, it is useful to distinguish between the nominal percentage of each incentive and the conditions that determine its actual effect: eligible base (which costs are counted and up to what percentage of total expenditure), caps per work or episode, territorialisation requirements, cultural tests, certification and payment deadlines, legal certainty, and administrative capacity to process files. Cultural tests operate as an eligibility filter and governance mechanism since they translate cultural policy objectives into verifiable criteria, usually through scoring systems and supporting documentation. Their design affects the administrative burden and the temporal predictability of the incentive, which are critical aspects for platform commissions. Therefore, effective competitiveness depends less on the nominal percentage of the deduction and more on its operational architecture, understood here as the set of rules, procedures, guides, administrative capacities, and information systems that allow it to be applied quickly, predictably, and </w:t>
      </w:r>
      <w:proofErr w:type="spellStart"/>
      <w:r w:rsidRPr="003E056B">
        <w:rPr>
          <w:sz w:val="20"/>
          <w:szCs w:val="20"/>
          <w:lang w:val="en-GB"/>
        </w:rPr>
        <w:t>auditably</w:t>
      </w:r>
      <w:proofErr w:type="spellEnd"/>
      <w:r w:rsidRPr="003E056B">
        <w:rPr>
          <w:sz w:val="20"/>
          <w:szCs w:val="20"/>
          <w:lang w:val="en-GB"/>
        </w:rPr>
        <w:t xml:space="preserve"> (how it is applied, what it includes, and under what criteria).</w:t>
      </w:r>
    </w:p>
    <w:p w14:paraId="7C61CFB1"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4F69A62C"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 xml:space="preserve">Official guides from the British Film Institute (2025), through the Audio-Visual Expenditure Credit, and the Centre National du Cinéma et de </w:t>
      </w:r>
      <w:proofErr w:type="spellStart"/>
      <w:r w:rsidRPr="003E056B">
        <w:rPr>
          <w:sz w:val="20"/>
          <w:szCs w:val="20"/>
          <w:lang w:val="en-GB"/>
        </w:rPr>
        <w:t>l'Image</w:t>
      </w:r>
      <w:proofErr w:type="spellEnd"/>
      <w:r w:rsidRPr="003E056B">
        <w:rPr>
          <w:sz w:val="20"/>
          <w:szCs w:val="20"/>
          <w:lang w:val="en-GB"/>
        </w:rPr>
        <w:t xml:space="preserve"> </w:t>
      </w:r>
      <w:proofErr w:type="spellStart"/>
      <w:r w:rsidRPr="003E056B">
        <w:rPr>
          <w:sz w:val="20"/>
          <w:szCs w:val="20"/>
          <w:lang w:val="en-GB"/>
        </w:rPr>
        <w:t>Animée</w:t>
      </w:r>
      <w:proofErr w:type="spellEnd"/>
      <w:r w:rsidRPr="003E056B">
        <w:rPr>
          <w:sz w:val="20"/>
          <w:szCs w:val="20"/>
          <w:lang w:val="en-GB"/>
        </w:rPr>
        <w:t xml:space="preserve"> (2025), via the Tax Rebate for International Productions, demonstrate this circumstance. However, the intensification of territorial competition to attract film shoots entails risks: a "race to the bottom" in aid intensity, displacements without local roots, administrative bottlenecks, and leakages when not articulated with local filming services, infrastructure, and professional profiles (McDonald, 2011, pp. 104-106; Pollard, 2016, p. 443). Consequently, incentives work best when integrated into "hub" strategies equipped with performance metrics and public evaluation systems (Government of Spain, 2023, p. 1; British Film Commission, 2024, p. 11).</w:t>
      </w:r>
    </w:p>
    <w:p w14:paraId="2318BCFA"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0716983E"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Based on this conceptual foundation, the fourth section, dedicated to analysis and the extraction of results, will present Spain's relative position compared to its European environment using official sources (Section 4.1) and will connect these features with the service capacity and infrastructure available in Andalusia (Section 4.2) and the Valencian Community, particularly with the reopening of the CDL and the configuration of the FO network (Section 4.3). This comparative articulation will allow for the identification of improvement strategies and the proposal of operational indicators to guide the design of policies for attracting and retaining film shoots at the regional level.</w:t>
      </w:r>
    </w:p>
    <w:p w14:paraId="08DB38B3" w14:textId="77777777" w:rsidR="00836639" w:rsidRPr="003E056B" w:rsidRDefault="00836639">
      <w:pPr>
        <w:widowControl/>
        <w:pBdr>
          <w:top w:val="nil"/>
          <w:left w:val="nil"/>
          <w:bottom w:val="nil"/>
          <w:right w:val="nil"/>
          <w:between w:val="nil"/>
        </w:pBdr>
        <w:spacing w:after="80"/>
        <w:ind w:left="426"/>
        <w:jc w:val="both"/>
        <w:rPr>
          <w:sz w:val="20"/>
          <w:szCs w:val="20"/>
          <w:lang w:val="en-GB"/>
        </w:rPr>
      </w:pPr>
    </w:p>
    <w:p w14:paraId="5D1AEB04" w14:textId="77777777" w:rsidR="00836639" w:rsidRPr="003E056B" w:rsidRDefault="00000000">
      <w:pPr>
        <w:pStyle w:val="Ttulo2"/>
        <w:widowControl/>
        <w:ind w:firstLine="904"/>
        <w:rPr>
          <w:lang w:val="en-GB"/>
        </w:rPr>
      </w:pPr>
      <w:bookmarkStart w:id="3" w:name="_heading=h.w86hj4me9vk4" w:colFirst="0" w:colLast="0"/>
      <w:bookmarkEnd w:id="3"/>
      <w:r w:rsidRPr="003E056B">
        <w:rPr>
          <w:lang w:val="en-GB"/>
        </w:rPr>
        <w:lastRenderedPageBreak/>
        <w:t>2.4. Film offices and film commissions as soft production infrastructure</w:t>
      </w:r>
    </w:p>
    <w:p w14:paraId="6CB6D6EF" w14:textId="77777777" w:rsidR="00836639" w:rsidRPr="003E056B" w:rsidRDefault="00836639">
      <w:pPr>
        <w:pStyle w:val="Ttulo1"/>
        <w:widowControl/>
        <w:spacing w:after="80"/>
        <w:ind w:right="370" w:firstLine="904"/>
        <w:jc w:val="both"/>
        <w:rPr>
          <w:rFonts w:ascii="Garamond" w:eastAsia="Garamond" w:hAnsi="Garamond" w:cs="Garamond"/>
          <w:color w:val="98361E"/>
          <w:sz w:val="20"/>
          <w:szCs w:val="20"/>
          <w:lang w:val="en-GB"/>
        </w:rPr>
      </w:pPr>
    </w:p>
    <w:p w14:paraId="3D6090E6"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In contemporary audiovisual ecosystems, FOs and FCs operate as soft infrastructure, in the sense proposed by the OECD (2025)</w:t>
      </w:r>
      <w:r>
        <w:rPr>
          <w:sz w:val="20"/>
          <w:szCs w:val="20"/>
          <w:vertAlign w:val="superscript"/>
        </w:rPr>
        <w:footnoteReference w:id="1"/>
      </w:r>
      <w:r w:rsidRPr="003E056B">
        <w:rPr>
          <w:sz w:val="20"/>
          <w:szCs w:val="20"/>
          <w:lang w:val="en-GB"/>
        </w:rPr>
        <w:t>, and are complemented by the hard infrastructure consisting of studios and physical equipment. Consequently, their main contribution does not lie in the ownership of physical assets, but rather in inter-institutional coordination, the reduction of transaction costs, and the management of the operational risks faced by production companies during pre-production and filming. To this end, they act as one-stop shops that advise on permits and regulations (traffic, heritage, environment), manage locations, connect with professional technicians and local suppliers, provide information on incentives and their processing, and collect impact data for evaluation (Palmi, Caputo &amp; Turco, 2016, p. 59).</w:t>
      </w:r>
    </w:p>
    <w:p w14:paraId="3CA3ADFB" w14:textId="77777777" w:rsidR="00836639" w:rsidRPr="003E056B" w:rsidRDefault="00836639">
      <w:pPr>
        <w:widowControl/>
        <w:pBdr>
          <w:top w:val="nil"/>
          <w:left w:val="nil"/>
          <w:bottom w:val="nil"/>
          <w:right w:val="nil"/>
          <w:between w:val="nil"/>
        </w:pBdr>
        <w:spacing w:after="80"/>
        <w:ind w:left="426"/>
        <w:jc w:val="both"/>
        <w:rPr>
          <w:sz w:val="20"/>
          <w:szCs w:val="20"/>
          <w:lang w:val="en-GB"/>
        </w:rPr>
      </w:pPr>
    </w:p>
    <w:p w14:paraId="6E565BA2"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A conclusion drawn from the best practices guide of the Association of Film Commissioners International (2024) is that the performance of FOs and FCs rests on governance, capabilities, and measurement. "Hand in hand" governance between municipal, provincial, and regional offices reduces duplications, homogenises protocols, and provides predictability in timelines. Capabilities depend on specialised profiles (permits, locations, vendor management) and service standards (framework agreements, time-to-permit objectives). Measurement requires comparable indicators, such as permit turnaround, percentage of local employment per department, local expenditure per category, or production satisfaction, which allow for the adjustment of policies and incentives and favour accountability.</w:t>
      </w:r>
    </w:p>
    <w:p w14:paraId="020653CF"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47C9ECB6"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Added to this set is a fourth variable increasingly demanded by financiers and platforms: sustainability. FOs and FCs act as nodes for the dissemination, support, and verification of environmental and social best practices (mobility plans, energy, waste management, accessibility, diversity, and inclusion), articulated with recognised certifications. Their effective incorporation into permit manuals and location agreements has ceased to be a reputational option and has become a competitive condition that attracts film shoots, as demonstrated by the FCs of Barcelona, Cantabria, Catalonia, and the Region of Murcia; the FOs of Malaga, Valencia, and Vitoria-</w:t>
      </w:r>
      <w:proofErr w:type="spellStart"/>
      <w:r w:rsidRPr="003E056B">
        <w:rPr>
          <w:sz w:val="20"/>
          <w:szCs w:val="20"/>
          <w:lang w:val="en-GB"/>
        </w:rPr>
        <w:t>Gasteiz</w:t>
      </w:r>
      <w:proofErr w:type="spellEnd"/>
      <w:r w:rsidRPr="003E056B">
        <w:rPr>
          <w:sz w:val="20"/>
          <w:szCs w:val="20"/>
          <w:lang w:val="en-GB"/>
        </w:rPr>
        <w:t xml:space="preserve">; and Film Madrid (Rajas, Paz-Gil &amp; </w:t>
      </w:r>
      <w:proofErr w:type="spellStart"/>
      <w:r w:rsidRPr="003E056B">
        <w:rPr>
          <w:sz w:val="20"/>
          <w:szCs w:val="20"/>
          <w:lang w:val="en-GB"/>
        </w:rPr>
        <w:t>Gértrudix</w:t>
      </w:r>
      <w:proofErr w:type="spellEnd"/>
      <w:r w:rsidRPr="003E056B">
        <w:rPr>
          <w:sz w:val="20"/>
          <w:szCs w:val="20"/>
          <w:lang w:val="en-GB"/>
        </w:rPr>
        <w:t>-Barrio, 2025, p. 177).</w:t>
      </w:r>
    </w:p>
    <w:p w14:paraId="288AEB05"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7466F4AE"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 xml:space="preserve">In sum, effective FOs and FCs translate the regulatory framework and incentives into operable processes at the project level. Their performance, observable through comparable key performance indicators (KPIs) and service level agreements (SLAs) that set target deadlines and processing standards, is complementary to that of studios and suppliers. This integrated vision of services, incentives, and capabilities is consistent with the hub strategy approach, which we will analyse in the following section. Likewise, the </w:t>
      </w:r>
      <w:r w:rsidRPr="003E056B">
        <w:rPr>
          <w:sz w:val="20"/>
          <w:szCs w:val="20"/>
          <w:lang w:val="en-GB"/>
        </w:rPr>
        <w:lastRenderedPageBreak/>
        <w:t>standardisation and publication of these KPIs and SLAs allow for inter-territorial benchmarking and policy evaluation—elements that we will articulate in the comparison between the Andalusian and Valencian audiovisual ecosystems.</w:t>
      </w:r>
    </w:p>
    <w:p w14:paraId="2CC5BD8F" w14:textId="77777777" w:rsidR="00836639" w:rsidRPr="003E056B" w:rsidRDefault="00000000">
      <w:pPr>
        <w:pStyle w:val="Ttulo2"/>
        <w:ind w:left="426"/>
        <w:rPr>
          <w:color w:val="984806"/>
          <w:lang w:val="en-GB"/>
        </w:rPr>
      </w:pPr>
      <w:r w:rsidRPr="003E056B">
        <w:rPr>
          <w:color w:val="984806"/>
          <w:lang w:val="en-GB"/>
        </w:rPr>
        <w:t>2.5. Film studios and hard infrastructure: hub logic and agglomeration economies</w:t>
      </w:r>
    </w:p>
    <w:p w14:paraId="3905E4A7"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32219C02"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Hard infrastructure, such as soundstages, backlots, tanks, workshops, and warehouses, constitutes the material anchor for large-scale and serial production. In the streaming era, the availability and scalability of stages dictate schedules and international commissioning decisions, with stage space demand on the rise and episodes of scarcity in leading markets (Knight Frank, 2022, p. 4; British Film Commission, 2024, p. 5). Research on creative clusters shows that the co-location of infrastructure, technicians, and suppliers generates agglomeration economies, in addition to fostering cross-project learning and resulting in lower coordination costs, higher talent density, and improved predictability for financiers (Medel &amp; Gossel, 2015, p. 78; Zheng, 2014, pp. 10-11).</w:t>
      </w:r>
    </w:p>
    <w:p w14:paraId="4E6ABB30"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6F9BFEB2"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Beyond the number of stages, the functional quality of the complex is decisive, especially for major works, given that “higher spending on each production implies a greater demand for high-end, purpose-built studios” (Knight Frank, 2023, p. 8). In this sense, characteristics such as clear height and load capacity, acoustic insulation, electrical power and redundancy, the presence of support spaces—such as offices, dressing rooms, mill shops, warehouses, and adjacent backlots—and the quality of base logistics (access, parking, unit base) are evaluated, along with the integration of technical services (data connectivity, dailies, VFX, and virtual production volumes) and sustainability protocols. These attributes configure the hub's effective capacity and condition its attractiveness for potential commissions.</w:t>
      </w:r>
    </w:p>
    <w:p w14:paraId="4E86DFD6"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2745E13F"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Finally, in policy terms, a hub is not limited to the studio building itself. Its maintenance implies coordinated governance, qualified training, available suppliers, and metrics that allow for the calculation of performance, turnover, and local employment and spending. Under this logic, the reopening of the CDL in 2022 reintroduces a complex with unique assets into the Spanish system that raises the ceiling for possible projects in the Valencian Community, provided its operation is articulated with a one-stop shop, fiscal incentives, and filming services. Therefore, the hub's performance ultimately depends as much on its physical features as on the institutional capacity to integrate them into international production chains with quality, scheduling, and sustainability requirements.</w:t>
      </w:r>
    </w:p>
    <w:p w14:paraId="3EDEF2D2"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0A164054" w14:textId="77777777" w:rsidR="00836639" w:rsidRDefault="00000000">
      <w:pPr>
        <w:pStyle w:val="Ttulo1"/>
        <w:numPr>
          <w:ilvl w:val="0"/>
          <w:numId w:val="1"/>
        </w:numPr>
        <w:rPr>
          <w:rFonts w:ascii="Garamond" w:eastAsia="Garamond" w:hAnsi="Garamond" w:cs="Garamond"/>
          <w:b/>
          <w:bCs/>
          <w:color w:val="984806"/>
        </w:rPr>
      </w:pPr>
      <w:r>
        <w:rPr>
          <w:rFonts w:ascii="Garamond" w:eastAsia="Garamond" w:hAnsi="Garamond" w:cs="Garamond"/>
          <w:b/>
          <w:bCs/>
          <w:color w:val="984806"/>
        </w:rPr>
        <w:t>Method</w:t>
      </w:r>
    </w:p>
    <w:p w14:paraId="12AE886C" w14:textId="77777777" w:rsidR="00836639" w:rsidRDefault="00836639">
      <w:pPr>
        <w:widowControl/>
        <w:pBdr>
          <w:top w:val="nil"/>
          <w:left w:val="nil"/>
          <w:bottom w:val="nil"/>
          <w:right w:val="nil"/>
          <w:between w:val="nil"/>
        </w:pBdr>
        <w:spacing w:after="80"/>
        <w:ind w:left="426" w:right="370"/>
        <w:jc w:val="both"/>
        <w:rPr>
          <w:sz w:val="20"/>
          <w:szCs w:val="20"/>
        </w:rPr>
      </w:pPr>
    </w:p>
    <w:p w14:paraId="4CB449A9"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 xml:space="preserve">The objective of this study is to explain how the articulation between incentives, production support services, and hard infrastructure translates into the capacity to attract and retain film shoots within the context of OTT platforms. To this end, a comparative design with a case study logic is adopted (Flyvbjerg, 2006; Jackson, 2011), in which the Valencian Community constitutes the primary focus and Andalusia serves as the contrast pattern. The analysis incorporates a stakeholder typological scheme based on a previous </w:t>
      </w:r>
      <w:r w:rsidRPr="003E056B">
        <w:rPr>
          <w:sz w:val="20"/>
          <w:szCs w:val="20"/>
          <w:lang w:val="en-GB"/>
        </w:rPr>
        <w:lastRenderedPageBreak/>
        <w:t>protocol updated for this research (Huerta-Viso, 2024) and triangulates regulatory frameworks, applied policies, technical documentation from competent bodies, and evidence of activity subjected to source criticism.</w:t>
      </w:r>
    </w:p>
    <w:p w14:paraId="3B7ABB9A"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6E7BC94D"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Benchmarking is conceived as a systematic performance comparison between two audiovisual ecosystems that share a general legal regime but differ in organisational design, trajectories, and service portfolios (</w:t>
      </w:r>
      <w:proofErr w:type="spellStart"/>
      <w:r w:rsidRPr="003E056B">
        <w:rPr>
          <w:sz w:val="20"/>
          <w:szCs w:val="20"/>
          <w:lang w:val="en-GB"/>
        </w:rPr>
        <w:t>Büyüközkan</w:t>
      </w:r>
      <w:proofErr w:type="spellEnd"/>
      <w:r w:rsidRPr="003E056B">
        <w:rPr>
          <w:sz w:val="20"/>
          <w:szCs w:val="20"/>
          <w:lang w:val="en-GB"/>
        </w:rPr>
        <w:t xml:space="preserve"> &amp; Maire, 1998, p. 102). This approach equates operational measures that explain how instruments function (eligible costs, caps per work or episode, requirements, and timelines), service metrics (one-stop shop, permit lead times, scouting, incentive support, sustainability), and infrastructure parameters (technical capacity of film studios and their support spaces). From this mapping, we extract intermediate results that reflect the circumstances of each autonomous community.</w:t>
      </w:r>
    </w:p>
    <w:p w14:paraId="1DE67E52"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2E88C045"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Furthermore, the analytical procedure combines comparative description (side-by-side tables and descriptive graphs), pattern matching, and explanation building (Ridder, 2017; Vargas-Bianchi, 2025). First, the enabling conditions—governance, services, incentives, and infrastructure—are defined; second, they are contrasted with activity indicators and documentary evidence regarding their operation; subsequently, these inputs are linked to the institutional and operational design to propose plausible explanatory mechanisms; and finally, alternative hypotheses are considered to strengthen the traceability between analysis, findings, and recommendations. By way of illustration, this approach allows for the examination of the association between the operability of a one-stop shop and the reduction of lead times in permit processing, or the correspondence between available technical capacity and the typology of international commissions captured.</w:t>
      </w:r>
    </w:p>
    <w:p w14:paraId="4F44DE8C"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201A85A4"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 xml:space="preserve">Finally, data quality is ensured through four guarantees: exclusion of figures without explicit methodology or verifiable traceability; double verification of critical values across independent sources; temporal harmonisation (annual alignment and control of regulatory changes); and sensitivity to divergent definitions. Limitations derive from the heterogeneity in the publication of metrics between territories and the absence of microdata in some series. </w:t>
      </w:r>
      <w:proofErr w:type="gramStart"/>
      <w:r w:rsidRPr="003E056B">
        <w:rPr>
          <w:sz w:val="20"/>
          <w:szCs w:val="20"/>
          <w:lang w:val="en-GB"/>
        </w:rPr>
        <w:t>In order to</w:t>
      </w:r>
      <w:proofErr w:type="gramEnd"/>
      <w:r w:rsidRPr="003E056B">
        <w:rPr>
          <w:sz w:val="20"/>
          <w:szCs w:val="20"/>
          <w:lang w:val="en-GB"/>
        </w:rPr>
        <w:t xml:space="preserve"> mitigate these, carefully defined proxy indicators and qualitative data triangulation are used (Yin, 2003). The operational hypotheses outlined in the theoretical framework are tested in the results section.</w:t>
      </w:r>
    </w:p>
    <w:p w14:paraId="3485A3D2"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05EA6E75" w14:textId="77777777" w:rsidR="00836639" w:rsidRDefault="00000000">
      <w:pPr>
        <w:pStyle w:val="Ttulo1"/>
        <w:numPr>
          <w:ilvl w:val="0"/>
          <w:numId w:val="1"/>
        </w:numPr>
        <w:rPr>
          <w:rFonts w:ascii="Garamond" w:eastAsia="Garamond" w:hAnsi="Garamond" w:cs="Garamond"/>
          <w:b/>
          <w:bCs/>
          <w:color w:val="984806"/>
        </w:rPr>
      </w:pPr>
      <w:proofErr w:type="spellStart"/>
      <w:r>
        <w:rPr>
          <w:rFonts w:ascii="Garamond" w:eastAsia="Garamond" w:hAnsi="Garamond" w:cs="Garamond"/>
          <w:b/>
          <w:bCs/>
          <w:color w:val="984806"/>
        </w:rPr>
        <w:t>Analysis</w:t>
      </w:r>
      <w:proofErr w:type="spellEnd"/>
      <w:r>
        <w:rPr>
          <w:rFonts w:ascii="Garamond" w:eastAsia="Garamond" w:hAnsi="Garamond" w:cs="Garamond"/>
          <w:b/>
          <w:bCs/>
          <w:color w:val="984806"/>
        </w:rPr>
        <w:t xml:space="preserve"> and </w:t>
      </w:r>
      <w:proofErr w:type="spellStart"/>
      <w:r>
        <w:rPr>
          <w:rFonts w:ascii="Garamond" w:eastAsia="Garamond" w:hAnsi="Garamond" w:cs="Garamond"/>
          <w:b/>
          <w:bCs/>
          <w:color w:val="984806"/>
        </w:rPr>
        <w:t>Results</w:t>
      </w:r>
      <w:proofErr w:type="spellEnd"/>
    </w:p>
    <w:p w14:paraId="0D9C36B4" w14:textId="77777777" w:rsidR="00836639" w:rsidRPr="003E056B" w:rsidRDefault="00000000">
      <w:pPr>
        <w:pStyle w:val="Ttulo2"/>
        <w:ind w:left="426"/>
        <w:rPr>
          <w:lang w:val="en-GB"/>
        </w:rPr>
      </w:pPr>
      <w:r w:rsidRPr="003E056B">
        <w:rPr>
          <w:color w:val="984806"/>
          <w:lang w:val="en-GB"/>
        </w:rPr>
        <w:t>4.1. Incentives and policies to attract film shoots in the streaming era</w:t>
      </w:r>
    </w:p>
    <w:p w14:paraId="3CEB53B5" w14:textId="77777777" w:rsidR="00836639" w:rsidRPr="003E056B" w:rsidRDefault="00836639">
      <w:pPr>
        <w:widowControl/>
        <w:pBdr>
          <w:top w:val="nil"/>
          <w:left w:val="nil"/>
          <w:bottom w:val="nil"/>
          <w:right w:val="nil"/>
          <w:between w:val="nil"/>
        </w:pBdr>
        <w:spacing w:after="80"/>
        <w:ind w:right="370"/>
        <w:jc w:val="both"/>
        <w:rPr>
          <w:sz w:val="20"/>
          <w:szCs w:val="20"/>
          <w:lang w:val="en-GB"/>
        </w:rPr>
      </w:pPr>
    </w:p>
    <w:p w14:paraId="2AF72910"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The competition for OTT projects in Europe has been shaped by fiscal schemes that combine nominal rates with an operational architecture that determines their actual effectiveness. To establish a visual context that serves as a guide for the subsequent national and regional analysis, Table 1 is provided below, comparing the tax incentive percentages in effect in 2025 across several European countries.</w:t>
      </w:r>
    </w:p>
    <w:p w14:paraId="66EF0A46"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7B6A19DC" w14:textId="77777777" w:rsidR="00836639" w:rsidRPr="003E056B" w:rsidRDefault="00000000">
      <w:pPr>
        <w:widowControl/>
        <w:pBdr>
          <w:top w:val="nil"/>
          <w:left w:val="nil"/>
          <w:bottom w:val="nil"/>
          <w:right w:val="nil"/>
          <w:between w:val="nil"/>
        </w:pBdr>
        <w:spacing w:after="80"/>
        <w:ind w:left="647" w:right="684"/>
        <w:jc w:val="center"/>
        <w:rPr>
          <w:color w:val="000000"/>
          <w:sz w:val="20"/>
          <w:szCs w:val="20"/>
          <w:lang w:val="en-GB"/>
        </w:rPr>
      </w:pPr>
      <w:r w:rsidRPr="003E056B">
        <w:rPr>
          <w:color w:val="231F20"/>
          <w:sz w:val="20"/>
          <w:szCs w:val="20"/>
          <w:lang w:val="en-GB"/>
        </w:rPr>
        <w:lastRenderedPageBreak/>
        <w:t>Table 1. European comparison of audiovisual production incentives in 2025.</w:t>
      </w:r>
    </w:p>
    <w:p w14:paraId="306F057C" w14:textId="77777777" w:rsidR="00836639" w:rsidRPr="003E056B" w:rsidRDefault="00836639">
      <w:pPr>
        <w:widowControl/>
        <w:pBdr>
          <w:top w:val="nil"/>
          <w:left w:val="nil"/>
          <w:bottom w:val="nil"/>
          <w:right w:val="nil"/>
          <w:between w:val="nil"/>
        </w:pBdr>
        <w:spacing w:after="80"/>
        <w:ind w:left="426" w:right="370"/>
        <w:jc w:val="both"/>
        <w:rPr>
          <w:sz w:val="17"/>
          <w:szCs w:val="17"/>
          <w:lang w:val="en-GB"/>
        </w:rPr>
      </w:pPr>
    </w:p>
    <w:tbl>
      <w:tblPr>
        <w:tblStyle w:val="a4"/>
        <w:tblW w:w="687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1"/>
        <w:gridCol w:w="1582"/>
        <w:gridCol w:w="3827"/>
      </w:tblGrid>
      <w:tr w:rsidR="00836639" w14:paraId="6C7C6663" w14:textId="77777777">
        <w:trPr>
          <w:tblHeader/>
        </w:trPr>
        <w:tc>
          <w:tcPr>
            <w:tcW w:w="1461" w:type="dxa"/>
            <w:vAlign w:val="center"/>
          </w:tcPr>
          <w:p w14:paraId="2E322390" w14:textId="77777777" w:rsidR="00836639" w:rsidRDefault="00000000">
            <w:pPr>
              <w:widowControl/>
              <w:jc w:val="center"/>
              <w:rPr>
                <w:b/>
                <w:bCs/>
                <w:sz w:val="20"/>
                <w:szCs w:val="20"/>
              </w:rPr>
            </w:pPr>
            <w:r>
              <w:rPr>
                <w:b/>
                <w:bCs/>
                <w:sz w:val="20"/>
                <w:szCs w:val="20"/>
              </w:rPr>
              <w:t>Country</w:t>
            </w:r>
          </w:p>
        </w:tc>
        <w:tc>
          <w:tcPr>
            <w:tcW w:w="1582" w:type="dxa"/>
            <w:vAlign w:val="center"/>
          </w:tcPr>
          <w:p w14:paraId="548B2A05" w14:textId="77777777" w:rsidR="00836639" w:rsidRDefault="00000000">
            <w:pPr>
              <w:widowControl/>
              <w:jc w:val="center"/>
              <w:rPr>
                <w:b/>
                <w:bCs/>
                <w:sz w:val="20"/>
                <w:szCs w:val="20"/>
              </w:rPr>
            </w:pPr>
            <w:r>
              <w:rPr>
                <w:b/>
                <w:bCs/>
                <w:sz w:val="20"/>
                <w:szCs w:val="20"/>
              </w:rPr>
              <w:t>Incentive (2025)</w:t>
            </w:r>
          </w:p>
        </w:tc>
        <w:tc>
          <w:tcPr>
            <w:tcW w:w="3828" w:type="dxa"/>
            <w:vAlign w:val="center"/>
          </w:tcPr>
          <w:p w14:paraId="79D7F26E" w14:textId="77777777" w:rsidR="00836639" w:rsidRDefault="00000000">
            <w:pPr>
              <w:widowControl/>
              <w:jc w:val="center"/>
              <w:rPr>
                <w:b/>
                <w:bCs/>
                <w:sz w:val="20"/>
                <w:szCs w:val="20"/>
              </w:rPr>
            </w:pPr>
            <w:r>
              <w:rPr>
                <w:b/>
                <w:bCs/>
                <w:sz w:val="20"/>
                <w:szCs w:val="20"/>
              </w:rPr>
              <w:t>Brief Notes</w:t>
            </w:r>
          </w:p>
        </w:tc>
      </w:tr>
      <w:tr w:rsidR="00836639" w:rsidRPr="003E056B" w14:paraId="12030D44" w14:textId="77777777">
        <w:tc>
          <w:tcPr>
            <w:tcW w:w="1461" w:type="dxa"/>
          </w:tcPr>
          <w:p w14:paraId="7B70CAB0" w14:textId="77777777" w:rsidR="00836639" w:rsidRDefault="00000000">
            <w:pPr>
              <w:widowControl/>
              <w:rPr>
                <w:sz w:val="20"/>
                <w:szCs w:val="20"/>
              </w:rPr>
            </w:pPr>
            <w:r>
              <w:rPr>
                <w:sz w:val="20"/>
                <w:szCs w:val="20"/>
              </w:rPr>
              <w:t>Spain (</w:t>
            </w:r>
            <w:proofErr w:type="spellStart"/>
            <w:r>
              <w:rPr>
                <w:sz w:val="20"/>
                <w:szCs w:val="20"/>
              </w:rPr>
              <w:t>Article</w:t>
            </w:r>
            <w:proofErr w:type="spellEnd"/>
            <w:r>
              <w:rPr>
                <w:sz w:val="20"/>
                <w:szCs w:val="20"/>
              </w:rPr>
              <w:t xml:space="preserve"> 36 LIS)</w:t>
            </w:r>
          </w:p>
        </w:tc>
        <w:tc>
          <w:tcPr>
            <w:tcW w:w="1582" w:type="dxa"/>
          </w:tcPr>
          <w:p w14:paraId="311CC357" w14:textId="77777777" w:rsidR="00836639" w:rsidRDefault="00000000">
            <w:pPr>
              <w:widowControl/>
              <w:jc w:val="both"/>
              <w:rPr>
                <w:sz w:val="20"/>
                <w:szCs w:val="20"/>
              </w:rPr>
            </w:pPr>
            <w:r>
              <w:rPr>
                <w:sz w:val="20"/>
                <w:szCs w:val="20"/>
              </w:rPr>
              <w:t>30-25 %</w:t>
            </w:r>
          </w:p>
        </w:tc>
        <w:tc>
          <w:tcPr>
            <w:tcW w:w="3828" w:type="dxa"/>
          </w:tcPr>
          <w:p w14:paraId="377EAEC2" w14:textId="77777777" w:rsidR="00836639" w:rsidRPr="003E056B" w:rsidRDefault="00000000">
            <w:pPr>
              <w:widowControl/>
              <w:jc w:val="both"/>
              <w:rPr>
                <w:sz w:val="20"/>
                <w:szCs w:val="20"/>
                <w:lang w:val="en-GB"/>
              </w:rPr>
            </w:pPr>
            <w:r w:rsidRPr="003E056B">
              <w:rPr>
                <w:sz w:val="20"/>
                <w:szCs w:val="20"/>
                <w:lang w:val="en-GB"/>
              </w:rPr>
              <w:t xml:space="preserve">30% on the first million of the tax </w:t>
            </w:r>
            <w:proofErr w:type="gramStart"/>
            <w:r w:rsidRPr="003E056B">
              <w:rPr>
                <w:sz w:val="20"/>
                <w:szCs w:val="20"/>
                <w:lang w:val="en-GB"/>
              </w:rPr>
              <w:t>base</w:t>
            </w:r>
            <w:proofErr w:type="gramEnd"/>
            <w:r w:rsidRPr="003E056B">
              <w:rPr>
                <w:sz w:val="20"/>
                <w:szCs w:val="20"/>
                <w:lang w:val="en-GB"/>
              </w:rPr>
              <w:t xml:space="preserve"> and 25% on the excess; €20M cap (€10M/episode for series).</w:t>
            </w:r>
          </w:p>
        </w:tc>
      </w:tr>
      <w:tr w:rsidR="00836639" w14:paraId="5BC58336" w14:textId="77777777">
        <w:tc>
          <w:tcPr>
            <w:tcW w:w="1461" w:type="dxa"/>
            <w:vAlign w:val="center"/>
          </w:tcPr>
          <w:p w14:paraId="1A209371" w14:textId="77777777" w:rsidR="00836639" w:rsidRDefault="00000000">
            <w:pPr>
              <w:widowControl/>
              <w:rPr>
                <w:sz w:val="20"/>
                <w:szCs w:val="20"/>
              </w:rPr>
            </w:pPr>
            <w:r>
              <w:rPr>
                <w:sz w:val="20"/>
                <w:szCs w:val="20"/>
              </w:rPr>
              <w:t>France (TRIP)</w:t>
            </w:r>
          </w:p>
        </w:tc>
        <w:tc>
          <w:tcPr>
            <w:tcW w:w="1582" w:type="dxa"/>
            <w:vAlign w:val="center"/>
          </w:tcPr>
          <w:p w14:paraId="6EC51031" w14:textId="77777777" w:rsidR="00836639" w:rsidRDefault="00000000">
            <w:pPr>
              <w:widowControl/>
              <w:jc w:val="both"/>
              <w:rPr>
                <w:sz w:val="20"/>
                <w:szCs w:val="20"/>
              </w:rPr>
            </w:pPr>
            <w:r>
              <w:rPr>
                <w:sz w:val="20"/>
                <w:szCs w:val="20"/>
              </w:rPr>
              <w:t>30 % (40 % VFX)</w:t>
            </w:r>
          </w:p>
        </w:tc>
        <w:tc>
          <w:tcPr>
            <w:tcW w:w="3828" w:type="dxa"/>
            <w:vAlign w:val="center"/>
          </w:tcPr>
          <w:p w14:paraId="190B2635" w14:textId="77777777" w:rsidR="00836639" w:rsidRDefault="00000000">
            <w:pPr>
              <w:widowControl/>
              <w:jc w:val="both"/>
              <w:rPr>
                <w:sz w:val="20"/>
                <w:szCs w:val="20"/>
              </w:rPr>
            </w:pPr>
            <w:r w:rsidRPr="003E056B">
              <w:rPr>
                <w:sz w:val="20"/>
                <w:szCs w:val="20"/>
                <w:lang w:val="en-GB"/>
              </w:rPr>
              <w:t xml:space="preserve">40% if French VFX and over €2M with a €30M cap per project. </w:t>
            </w:r>
            <w:proofErr w:type="spellStart"/>
            <w:r>
              <w:rPr>
                <w:sz w:val="20"/>
                <w:szCs w:val="20"/>
              </w:rPr>
              <w:t>Managed</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the</w:t>
            </w:r>
            <w:proofErr w:type="spellEnd"/>
            <w:r>
              <w:rPr>
                <w:sz w:val="20"/>
                <w:szCs w:val="20"/>
              </w:rPr>
              <w:t xml:space="preserve"> CNC.</w:t>
            </w:r>
          </w:p>
        </w:tc>
      </w:tr>
      <w:tr w:rsidR="00836639" w:rsidRPr="003E056B" w14:paraId="6CC94B8B" w14:textId="77777777">
        <w:tc>
          <w:tcPr>
            <w:tcW w:w="1461" w:type="dxa"/>
            <w:vAlign w:val="center"/>
          </w:tcPr>
          <w:p w14:paraId="4347A527" w14:textId="77777777" w:rsidR="00836639" w:rsidRDefault="00000000">
            <w:pPr>
              <w:widowControl/>
              <w:rPr>
                <w:sz w:val="20"/>
                <w:szCs w:val="20"/>
              </w:rPr>
            </w:pPr>
            <w:r>
              <w:rPr>
                <w:sz w:val="20"/>
                <w:szCs w:val="20"/>
              </w:rPr>
              <w:t>Italy (Tax Credit)</w:t>
            </w:r>
          </w:p>
        </w:tc>
        <w:tc>
          <w:tcPr>
            <w:tcW w:w="1582" w:type="dxa"/>
            <w:vAlign w:val="center"/>
          </w:tcPr>
          <w:p w14:paraId="2E97B0A5" w14:textId="77777777" w:rsidR="00836639" w:rsidRDefault="00000000">
            <w:pPr>
              <w:widowControl/>
              <w:jc w:val="both"/>
              <w:rPr>
                <w:sz w:val="20"/>
                <w:szCs w:val="20"/>
              </w:rPr>
            </w:pPr>
            <w:r>
              <w:rPr>
                <w:sz w:val="20"/>
                <w:szCs w:val="20"/>
              </w:rPr>
              <w:t xml:space="preserve">40 % (30 % non-EU creative </w:t>
            </w:r>
            <w:proofErr w:type="spellStart"/>
            <w:r>
              <w:rPr>
                <w:sz w:val="20"/>
                <w:szCs w:val="20"/>
              </w:rPr>
              <w:t>spend</w:t>
            </w:r>
            <w:proofErr w:type="spellEnd"/>
            <w:r>
              <w:rPr>
                <w:sz w:val="20"/>
                <w:szCs w:val="20"/>
              </w:rPr>
              <w:t>)</w:t>
            </w:r>
          </w:p>
        </w:tc>
        <w:tc>
          <w:tcPr>
            <w:tcW w:w="3828" w:type="dxa"/>
            <w:vAlign w:val="center"/>
          </w:tcPr>
          <w:p w14:paraId="0C607DDD" w14:textId="77777777" w:rsidR="00836639" w:rsidRPr="003E056B" w:rsidRDefault="00000000">
            <w:pPr>
              <w:widowControl/>
              <w:jc w:val="both"/>
              <w:rPr>
                <w:sz w:val="20"/>
                <w:szCs w:val="20"/>
                <w:lang w:val="en-GB"/>
              </w:rPr>
            </w:pPr>
            <w:r w:rsidRPr="003E056B">
              <w:rPr>
                <w:sz w:val="20"/>
                <w:szCs w:val="20"/>
                <w:lang w:val="en-GB"/>
              </w:rPr>
              <w:t>Includes cultural requirements. Managed by DG Cinema under Law No. 220/2016.</w:t>
            </w:r>
          </w:p>
        </w:tc>
      </w:tr>
      <w:tr w:rsidR="00836639" w14:paraId="126B0EE0" w14:textId="77777777">
        <w:tc>
          <w:tcPr>
            <w:tcW w:w="1461" w:type="dxa"/>
            <w:vAlign w:val="center"/>
          </w:tcPr>
          <w:p w14:paraId="0163FF8C" w14:textId="77777777" w:rsidR="00836639" w:rsidRDefault="00000000">
            <w:pPr>
              <w:widowControl/>
              <w:rPr>
                <w:sz w:val="20"/>
                <w:szCs w:val="20"/>
              </w:rPr>
            </w:pPr>
            <w:r>
              <w:rPr>
                <w:sz w:val="20"/>
                <w:szCs w:val="20"/>
              </w:rPr>
              <w:t>Ireland (Section 481 FCTC)</w:t>
            </w:r>
          </w:p>
        </w:tc>
        <w:tc>
          <w:tcPr>
            <w:tcW w:w="1582" w:type="dxa"/>
            <w:vAlign w:val="center"/>
          </w:tcPr>
          <w:p w14:paraId="744F4EA3" w14:textId="77777777" w:rsidR="00836639" w:rsidRDefault="00000000">
            <w:pPr>
              <w:widowControl/>
              <w:jc w:val="both"/>
              <w:rPr>
                <w:sz w:val="20"/>
                <w:szCs w:val="20"/>
              </w:rPr>
            </w:pPr>
            <w:r>
              <w:rPr>
                <w:sz w:val="20"/>
                <w:szCs w:val="20"/>
              </w:rPr>
              <w:t xml:space="preserve">32 % (up </w:t>
            </w:r>
            <w:proofErr w:type="spellStart"/>
            <w:r>
              <w:rPr>
                <w:sz w:val="20"/>
                <w:szCs w:val="20"/>
              </w:rPr>
              <w:t>to</w:t>
            </w:r>
            <w:proofErr w:type="spellEnd"/>
            <w:r>
              <w:rPr>
                <w:sz w:val="20"/>
                <w:szCs w:val="20"/>
              </w:rPr>
              <w:t xml:space="preserve"> 40 %)</w:t>
            </w:r>
          </w:p>
        </w:tc>
        <w:tc>
          <w:tcPr>
            <w:tcW w:w="3828" w:type="dxa"/>
            <w:vAlign w:val="center"/>
          </w:tcPr>
          <w:p w14:paraId="2188A693" w14:textId="77777777" w:rsidR="00836639" w:rsidRDefault="00000000">
            <w:pPr>
              <w:widowControl/>
              <w:jc w:val="both"/>
              <w:rPr>
                <w:sz w:val="20"/>
                <w:szCs w:val="20"/>
              </w:rPr>
            </w:pPr>
            <w:r w:rsidRPr="003E056B">
              <w:rPr>
                <w:sz w:val="20"/>
                <w:szCs w:val="20"/>
                <w:lang w:val="en-GB"/>
              </w:rPr>
              <w:t xml:space="preserve">Selective increase for lower-budget feature films. </w:t>
            </w:r>
            <w:proofErr w:type="spellStart"/>
            <w:r>
              <w:rPr>
                <w:sz w:val="20"/>
                <w:szCs w:val="20"/>
              </w:rPr>
              <w:t>Managed</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Revenue</w:t>
            </w:r>
            <w:proofErr w:type="spellEnd"/>
            <w:r>
              <w:rPr>
                <w:sz w:val="20"/>
                <w:szCs w:val="20"/>
              </w:rPr>
              <w:t>.</w:t>
            </w:r>
          </w:p>
        </w:tc>
      </w:tr>
      <w:tr w:rsidR="00836639" w14:paraId="712C62E8" w14:textId="77777777">
        <w:tc>
          <w:tcPr>
            <w:tcW w:w="1461" w:type="dxa"/>
            <w:vAlign w:val="center"/>
          </w:tcPr>
          <w:p w14:paraId="30266711" w14:textId="77777777" w:rsidR="00836639" w:rsidRPr="003E056B" w:rsidRDefault="00000000">
            <w:pPr>
              <w:widowControl/>
              <w:rPr>
                <w:sz w:val="20"/>
                <w:szCs w:val="20"/>
                <w:lang w:val="en-GB"/>
              </w:rPr>
            </w:pPr>
            <w:r w:rsidRPr="003E056B">
              <w:rPr>
                <w:sz w:val="20"/>
                <w:szCs w:val="20"/>
                <w:lang w:val="en-GB"/>
              </w:rPr>
              <w:t>Germany (DFFF I/II, GMPF)</w:t>
            </w:r>
          </w:p>
        </w:tc>
        <w:tc>
          <w:tcPr>
            <w:tcW w:w="1582" w:type="dxa"/>
            <w:vAlign w:val="center"/>
          </w:tcPr>
          <w:p w14:paraId="4C4CB9C9" w14:textId="77777777" w:rsidR="00836639" w:rsidRDefault="00000000">
            <w:pPr>
              <w:widowControl/>
              <w:jc w:val="both"/>
              <w:rPr>
                <w:sz w:val="20"/>
                <w:szCs w:val="20"/>
              </w:rPr>
            </w:pPr>
            <w:r>
              <w:rPr>
                <w:sz w:val="20"/>
                <w:szCs w:val="20"/>
              </w:rPr>
              <w:t>En torno al 30 %</w:t>
            </w:r>
          </w:p>
        </w:tc>
        <w:tc>
          <w:tcPr>
            <w:tcW w:w="3828" w:type="dxa"/>
            <w:vAlign w:val="center"/>
          </w:tcPr>
          <w:p w14:paraId="36804038" w14:textId="77777777" w:rsidR="00836639" w:rsidRDefault="00000000">
            <w:pPr>
              <w:widowControl/>
              <w:jc w:val="both"/>
              <w:rPr>
                <w:sz w:val="20"/>
                <w:szCs w:val="20"/>
              </w:rPr>
            </w:pPr>
            <w:r w:rsidRPr="003E056B">
              <w:rPr>
                <w:sz w:val="20"/>
                <w:szCs w:val="20"/>
                <w:lang w:val="en-GB"/>
              </w:rPr>
              <w:t xml:space="preserve">30% rebates on German costs; annual caps. </w:t>
            </w:r>
            <w:proofErr w:type="spellStart"/>
            <w:r>
              <w:rPr>
                <w:sz w:val="20"/>
                <w:szCs w:val="20"/>
              </w:rPr>
              <w:t>Managed</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Filmförderungsanstalt</w:t>
            </w:r>
            <w:proofErr w:type="spellEnd"/>
            <w:r>
              <w:rPr>
                <w:sz w:val="20"/>
                <w:szCs w:val="20"/>
              </w:rPr>
              <w:t>.</w:t>
            </w:r>
          </w:p>
        </w:tc>
      </w:tr>
      <w:tr w:rsidR="00836639" w14:paraId="21A6D58A" w14:textId="77777777">
        <w:tc>
          <w:tcPr>
            <w:tcW w:w="1461" w:type="dxa"/>
            <w:vAlign w:val="center"/>
          </w:tcPr>
          <w:p w14:paraId="4EDB51D2" w14:textId="77777777" w:rsidR="00836639" w:rsidRPr="003E056B" w:rsidRDefault="00000000">
            <w:pPr>
              <w:widowControl/>
              <w:rPr>
                <w:sz w:val="20"/>
                <w:szCs w:val="20"/>
                <w:lang w:val="pt-BR"/>
              </w:rPr>
            </w:pPr>
            <w:r w:rsidRPr="003E056B">
              <w:rPr>
                <w:sz w:val="20"/>
                <w:szCs w:val="20"/>
                <w:lang w:val="pt-BR"/>
              </w:rPr>
              <w:t>Portugal (</w:t>
            </w:r>
            <w:proofErr w:type="spellStart"/>
            <w:r w:rsidRPr="003E056B">
              <w:rPr>
                <w:sz w:val="20"/>
                <w:szCs w:val="20"/>
                <w:lang w:val="pt-BR"/>
              </w:rPr>
              <w:t>Pic</w:t>
            </w:r>
            <w:proofErr w:type="spellEnd"/>
            <w:r w:rsidRPr="003E056B">
              <w:rPr>
                <w:sz w:val="20"/>
                <w:szCs w:val="20"/>
                <w:lang w:val="pt-BR"/>
              </w:rPr>
              <w:t xml:space="preserve"> Portugal-Cash Rebate</w:t>
            </w:r>
          </w:p>
        </w:tc>
        <w:tc>
          <w:tcPr>
            <w:tcW w:w="1582" w:type="dxa"/>
            <w:vAlign w:val="center"/>
          </w:tcPr>
          <w:p w14:paraId="4EDEC2B9" w14:textId="77777777" w:rsidR="00836639" w:rsidRDefault="00000000">
            <w:pPr>
              <w:widowControl/>
              <w:jc w:val="both"/>
              <w:rPr>
                <w:sz w:val="20"/>
                <w:szCs w:val="20"/>
              </w:rPr>
            </w:pPr>
            <w:r>
              <w:rPr>
                <w:sz w:val="20"/>
                <w:szCs w:val="20"/>
              </w:rPr>
              <w:t>25-30 %</w:t>
            </w:r>
          </w:p>
        </w:tc>
        <w:tc>
          <w:tcPr>
            <w:tcW w:w="3828" w:type="dxa"/>
            <w:vAlign w:val="center"/>
          </w:tcPr>
          <w:p w14:paraId="52E12074" w14:textId="77777777" w:rsidR="00836639" w:rsidRDefault="00000000">
            <w:pPr>
              <w:widowControl/>
              <w:jc w:val="both"/>
              <w:rPr>
                <w:sz w:val="20"/>
                <w:szCs w:val="20"/>
              </w:rPr>
            </w:pPr>
            <w:r w:rsidRPr="003E056B">
              <w:rPr>
                <w:sz w:val="20"/>
                <w:szCs w:val="20"/>
                <w:lang w:val="en-GB"/>
              </w:rPr>
              <w:t xml:space="preserve">25% base; up to 30% with specific criteria; Portugal Film Commission one-stop shop. </w:t>
            </w:r>
            <w:proofErr w:type="spellStart"/>
            <w:r>
              <w:rPr>
                <w:sz w:val="20"/>
                <w:szCs w:val="20"/>
              </w:rPr>
              <w:t>Managed</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the</w:t>
            </w:r>
            <w:proofErr w:type="spellEnd"/>
            <w:r>
              <w:rPr>
                <w:sz w:val="20"/>
                <w:szCs w:val="20"/>
              </w:rPr>
              <w:t xml:space="preserve"> ICA.</w:t>
            </w:r>
          </w:p>
        </w:tc>
      </w:tr>
      <w:tr w:rsidR="00836639" w14:paraId="06E78A09" w14:textId="77777777">
        <w:tc>
          <w:tcPr>
            <w:tcW w:w="1461" w:type="dxa"/>
            <w:vAlign w:val="center"/>
          </w:tcPr>
          <w:p w14:paraId="185AC8FB" w14:textId="77777777" w:rsidR="00836639" w:rsidRDefault="00000000">
            <w:pPr>
              <w:widowControl/>
              <w:rPr>
                <w:sz w:val="20"/>
                <w:szCs w:val="20"/>
              </w:rPr>
            </w:pPr>
            <w:proofErr w:type="spellStart"/>
            <w:r>
              <w:rPr>
                <w:sz w:val="20"/>
                <w:szCs w:val="20"/>
              </w:rPr>
              <w:t>United</w:t>
            </w:r>
            <w:proofErr w:type="spellEnd"/>
            <w:r>
              <w:rPr>
                <w:sz w:val="20"/>
                <w:szCs w:val="20"/>
              </w:rPr>
              <w:t xml:space="preserve"> Kingdom (AVEC)</w:t>
            </w:r>
          </w:p>
        </w:tc>
        <w:tc>
          <w:tcPr>
            <w:tcW w:w="1582" w:type="dxa"/>
            <w:vAlign w:val="center"/>
          </w:tcPr>
          <w:p w14:paraId="6DDD0159" w14:textId="77777777" w:rsidR="00836639" w:rsidRDefault="00000000">
            <w:pPr>
              <w:widowControl/>
              <w:jc w:val="both"/>
              <w:rPr>
                <w:sz w:val="20"/>
                <w:szCs w:val="20"/>
              </w:rPr>
            </w:pPr>
            <w:r>
              <w:rPr>
                <w:sz w:val="20"/>
                <w:szCs w:val="20"/>
              </w:rPr>
              <w:t xml:space="preserve">34 % (39 % </w:t>
            </w:r>
            <w:proofErr w:type="spellStart"/>
            <w:r>
              <w:rPr>
                <w:sz w:val="20"/>
                <w:szCs w:val="20"/>
              </w:rPr>
              <w:t>Animation</w:t>
            </w:r>
            <w:proofErr w:type="spellEnd"/>
            <w:r>
              <w:rPr>
                <w:sz w:val="20"/>
                <w:szCs w:val="20"/>
              </w:rPr>
              <w:t>/</w:t>
            </w:r>
            <w:proofErr w:type="spellStart"/>
            <w:r>
              <w:rPr>
                <w:sz w:val="20"/>
                <w:szCs w:val="20"/>
              </w:rPr>
              <w:t>Children's</w:t>
            </w:r>
            <w:proofErr w:type="spellEnd"/>
            <w:r>
              <w:rPr>
                <w:sz w:val="20"/>
                <w:szCs w:val="20"/>
              </w:rPr>
              <w:t>)</w:t>
            </w:r>
          </w:p>
        </w:tc>
        <w:tc>
          <w:tcPr>
            <w:tcW w:w="3828" w:type="dxa"/>
            <w:vAlign w:val="center"/>
          </w:tcPr>
          <w:p w14:paraId="5289AE10" w14:textId="77777777" w:rsidR="00836639" w:rsidRDefault="00000000">
            <w:pPr>
              <w:widowControl/>
              <w:jc w:val="both"/>
              <w:rPr>
                <w:sz w:val="20"/>
                <w:szCs w:val="20"/>
              </w:rPr>
            </w:pPr>
            <w:r w:rsidRPr="003E056B">
              <w:rPr>
                <w:sz w:val="20"/>
                <w:szCs w:val="20"/>
                <w:lang w:val="en-GB"/>
              </w:rPr>
              <w:t xml:space="preserve">VFX uplift to 39% from 2025 (no 80% cap on qualified expenditure). </w:t>
            </w:r>
            <w:proofErr w:type="spellStart"/>
            <w:r>
              <w:rPr>
                <w:sz w:val="20"/>
                <w:szCs w:val="20"/>
              </w:rPr>
              <w:t>Official</w:t>
            </w:r>
            <w:proofErr w:type="spellEnd"/>
            <w:r>
              <w:rPr>
                <w:sz w:val="20"/>
                <w:szCs w:val="20"/>
              </w:rPr>
              <w:t xml:space="preserve"> HMRC and BFI guides.</w:t>
            </w:r>
          </w:p>
        </w:tc>
      </w:tr>
      <w:tr w:rsidR="00836639" w14:paraId="1EE94147" w14:textId="77777777">
        <w:tc>
          <w:tcPr>
            <w:tcW w:w="1461" w:type="dxa"/>
            <w:vAlign w:val="center"/>
          </w:tcPr>
          <w:p w14:paraId="7BA73629" w14:textId="77777777" w:rsidR="00836639" w:rsidRDefault="00000000">
            <w:pPr>
              <w:widowControl/>
              <w:rPr>
                <w:sz w:val="20"/>
                <w:szCs w:val="20"/>
              </w:rPr>
            </w:pPr>
            <w:proofErr w:type="spellStart"/>
            <w:r>
              <w:rPr>
                <w:sz w:val="20"/>
                <w:szCs w:val="20"/>
              </w:rPr>
              <w:t>Belgium</w:t>
            </w:r>
            <w:proofErr w:type="spellEnd"/>
            <w:r>
              <w:rPr>
                <w:sz w:val="20"/>
                <w:szCs w:val="20"/>
              </w:rPr>
              <w:t xml:space="preserve"> (Tax Shelter)</w:t>
            </w:r>
          </w:p>
        </w:tc>
        <w:tc>
          <w:tcPr>
            <w:tcW w:w="1582" w:type="dxa"/>
            <w:vAlign w:val="center"/>
          </w:tcPr>
          <w:p w14:paraId="58D5BA41" w14:textId="77777777" w:rsidR="00836639" w:rsidRDefault="00000000">
            <w:pPr>
              <w:widowControl/>
              <w:jc w:val="both"/>
              <w:rPr>
                <w:sz w:val="20"/>
                <w:szCs w:val="20"/>
              </w:rPr>
            </w:pPr>
            <w:proofErr w:type="spellStart"/>
            <w:r>
              <w:rPr>
                <w:sz w:val="20"/>
                <w:szCs w:val="20"/>
              </w:rPr>
              <w:t>Approx</w:t>
            </w:r>
            <w:proofErr w:type="spellEnd"/>
            <w:r>
              <w:rPr>
                <w:sz w:val="20"/>
                <w:szCs w:val="20"/>
              </w:rPr>
              <w:t>. un 38-40 % in cash</w:t>
            </w:r>
          </w:p>
        </w:tc>
        <w:tc>
          <w:tcPr>
            <w:tcW w:w="3828" w:type="dxa"/>
            <w:vAlign w:val="center"/>
          </w:tcPr>
          <w:p w14:paraId="1A573718" w14:textId="77777777" w:rsidR="00836639" w:rsidRDefault="00000000">
            <w:pPr>
              <w:widowControl/>
              <w:jc w:val="both"/>
              <w:rPr>
                <w:sz w:val="20"/>
                <w:szCs w:val="20"/>
              </w:rPr>
            </w:pPr>
            <w:r w:rsidRPr="003E056B">
              <w:rPr>
                <w:sz w:val="20"/>
                <w:szCs w:val="20"/>
                <w:lang w:val="en-GB"/>
              </w:rPr>
              <w:t xml:space="preserve">Fiscal mechanism (not a rebate). Net funding for the producer from eligible expenditure. </w:t>
            </w:r>
            <w:proofErr w:type="spellStart"/>
            <w:r>
              <w:rPr>
                <w:sz w:val="20"/>
                <w:szCs w:val="20"/>
              </w:rPr>
              <w:t>Managed</w:t>
            </w:r>
            <w:proofErr w:type="spellEnd"/>
            <w:r>
              <w:rPr>
                <w:sz w:val="20"/>
                <w:szCs w:val="20"/>
              </w:rPr>
              <w:t xml:space="preserve"> </w:t>
            </w:r>
            <w:proofErr w:type="spellStart"/>
            <w:r>
              <w:rPr>
                <w:sz w:val="20"/>
                <w:szCs w:val="20"/>
              </w:rPr>
              <w:t>by</w:t>
            </w:r>
            <w:proofErr w:type="spellEnd"/>
            <w:r>
              <w:rPr>
                <w:sz w:val="20"/>
                <w:szCs w:val="20"/>
              </w:rPr>
              <w:t xml:space="preserve"> SPF </w:t>
            </w:r>
            <w:proofErr w:type="spellStart"/>
            <w:r>
              <w:rPr>
                <w:sz w:val="20"/>
                <w:szCs w:val="20"/>
              </w:rPr>
              <w:t>Finances</w:t>
            </w:r>
            <w:proofErr w:type="spellEnd"/>
            <w:r>
              <w:rPr>
                <w:sz w:val="20"/>
                <w:szCs w:val="20"/>
              </w:rPr>
              <w:t>.</w:t>
            </w:r>
          </w:p>
        </w:tc>
      </w:tr>
      <w:tr w:rsidR="00836639" w:rsidRPr="003E056B" w14:paraId="5C0FD61C" w14:textId="77777777">
        <w:tc>
          <w:tcPr>
            <w:tcW w:w="1461" w:type="dxa"/>
            <w:vAlign w:val="center"/>
          </w:tcPr>
          <w:p w14:paraId="757A050D" w14:textId="77777777" w:rsidR="00836639" w:rsidRDefault="00000000">
            <w:pPr>
              <w:widowControl/>
              <w:rPr>
                <w:sz w:val="20"/>
                <w:szCs w:val="20"/>
              </w:rPr>
            </w:pPr>
            <w:r>
              <w:rPr>
                <w:sz w:val="20"/>
                <w:szCs w:val="20"/>
              </w:rPr>
              <w:t>Malta (Cash Rebate)</w:t>
            </w:r>
          </w:p>
        </w:tc>
        <w:tc>
          <w:tcPr>
            <w:tcW w:w="1582" w:type="dxa"/>
            <w:vAlign w:val="center"/>
          </w:tcPr>
          <w:p w14:paraId="6520AFC4" w14:textId="77777777" w:rsidR="00836639" w:rsidRDefault="00000000">
            <w:pPr>
              <w:widowControl/>
              <w:jc w:val="both"/>
              <w:rPr>
                <w:sz w:val="20"/>
                <w:szCs w:val="20"/>
              </w:rPr>
            </w:pPr>
            <w:r>
              <w:rPr>
                <w:sz w:val="20"/>
                <w:szCs w:val="20"/>
              </w:rPr>
              <w:t>30-40 %</w:t>
            </w:r>
          </w:p>
        </w:tc>
        <w:tc>
          <w:tcPr>
            <w:tcW w:w="3828" w:type="dxa"/>
            <w:vAlign w:val="center"/>
          </w:tcPr>
          <w:p w14:paraId="3203EFB6" w14:textId="77777777" w:rsidR="00836639" w:rsidRPr="003E056B" w:rsidRDefault="00000000">
            <w:pPr>
              <w:widowControl/>
              <w:jc w:val="both"/>
              <w:rPr>
                <w:sz w:val="20"/>
                <w:szCs w:val="20"/>
                <w:lang w:val="en-GB"/>
              </w:rPr>
            </w:pPr>
            <w:r w:rsidRPr="003E056B">
              <w:rPr>
                <w:sz w:val="20"/>
                <w:szCs w:val="20"/>
                <w:lang w:val="en-GB"/>
              </w:rPr>
              <w:t>Up to 40% refund on eligible local expenditure. Managed by the Malta Film Commission.</w:t>
            </w:r>
          </w:p>
        </w:tc>
      </w:tr>
      <w:tr w:rsidR="00836639" w:rsidRPr="003E056B" w14:paraId="0D5656A8" w14:textId="77777777">
        <w:tc>
          <w:tcPr>
            <w:tcW w:w="1461" w:type="dxa"/>
            <w:vAlign w:val="center"/>
          </w:tcPr>
          <w:p w14:paraId="6695C477" w14:textId="77777777" w:rsidR="00836639" w:rsidRDefault="00000000">
            <w:pPr>
              <w:widowControl/>
              <w:rPr>
                <w:sz w:val="20"/>
                <w:szCs w:val="20"/>
              </w:rPr>
            </w:pPr>
            <w:r>
              <w:rPr>
                <w:sz w:val="20"/>
                <w:szCs w:val="20"/>
              </w:rPr>
              <w:t>Poland (Cash Rebate)</w:t>
            </w:r>
          </w:p>
        </w:tc>
        <w:tc>
          <w:tcPr>
            <w:tcW w:w="1582" w:type="dxa"/>
            <w:vAlign w:val="center"/>
          </w:tcPr>
          <w:p w14:paraId="1A9EF056" w14:textId="77777777" w:rsidR="00836639" w:rsidRDefault="00000000">
            <w:pPr>
              <w:widowControl/>
              <w:jc w:val="both"/>
              <w:rPr>
                <w:sz w:val="20"/>
                <w:szCs w:val="20"/>
              </w:rPr>
            </w:pPr>
            <w:r>
              <w:rPr>
                <w:sz w:val="20"/>
                <w:szCs w:val="20"/>
              </w:rPr>
              <w:t>30 %</w:t>
            </w:r>
          </w:p>
        </w:tc>
        <w:tc>
          <w:tcPr>
            <w:tcW w:w="3828" w:type="dxa"/>
            <w:vAlign w:val="center"/>
          </w:tcPr>
          <w:p w14:paraId="5E76C452" w14:textId="77777777" w:rsidR="00836639" w:rsidRPr="003E056B" w:rsidRDefault="00000000">
            <w:pPr>
              <w:widowControl/>
              <w:jc w:val="both"/>
              <w:rPr>
                <w:sz w:val="20"/>
                <w:szCs w:val="20"/>
                <w:lang w:val="en-GB"/>
              </w:rPr>
            </w:pPr>
            <w:r w:rsidRPr="003E056B">
              <w:rPr>
                <w:sz w:val="20"/>
                <w:szCs w:val="20"/>
                <w:lang w:val="en-GB"/>
              </w:rPr>
              <w:t>15M PLN cap per project. Managed by the Polish Film Institute / Polish Film Commission.</w:t>
            </w:r>
          </w:p>
        </w:tc>
      </w:tr>
      <w:tr w:rsidR="00836639" w:rsidRPr="003E056B" w14:paraId="4788B06B" w14:textId="77777777">
        <w:tc>
          <w:tcPr>
            <w:tcW w:w="1461" w:type="dxa"/>
            <w:vAlign w:val="center"/>
          </w:tcPr>
          <w:p w14:paraId="44472ED7" w14:textId="77777777" w:rsidR="00836639" w:rsidRDefault="00000000">
            <w:pPr>
              <w:widowControl/>
              <w:rPr>
                <w:sz w:val="20"/>
                <w:szCs w:val="20"/>
              </w:rPr>
            </w:pPr>
            <w:r>
              <w:rPr>
                <w:sz w:val="20"/>
                <w:szCs w:val="20"/>
              </w:rPr>
              <w:t>Romania (Cash Rebate)</w:t>
            </w:r>
          </w:p>
        </w:tc>
        <w:tc>
          <w:tcPr>
            <w:tcW w:w="1582" w:type="dxa"/>
            <w:vAlign w:val="center"/>
          </w:tcPr>
          <w:p w14:paraId="79DCD6B4" w14:textId="77777777" w:rsidR="00836639" w:rsidRDefault="00000000">
            <w:pPr>
              <w:widowControl/>
              <w:jc w:val="both"/>
              <w:rPr>
                <w:sz w:val="20"/>
                <w:szCs w:val="20"/>
              </w:rPr>
            </w:pPr>
            <w:r>
              <w:rPr>
                <w:sz w:val="20"/>
                <w:szCs w:val="20"/>
              </w:rPr>
              <w:t>30 % (active)</w:t>
            </w:r>
          </w:p>
        </w:tc>
        <w:tc>
          <w:tcPr>
            <w:tcW w:w="3828" w:type="dxa"/>
            <w:vAlign w:val="center"/>
          </w:tcPr>
          <w:p w14:paraId="2825A71C" w14:textId="77777777" w:rsidR="00836639" w:rsidRPr="003E056B" w:rsidRDefault="00000000">
            <w:pPr>
              <w:widowControl/>
              <w:jc w:val="both"/>
              <w:rPr>
                <w:sz w:val="20"/>
                <w:szCs w:val="20"/>
                <w:lang w:val="en-GB"/>
              </w:rPr>
            </w:pPr>
            <w:r w:rsidRPr="003E056B">
              <w:rPr>
                <w:sz w:val="20"/>
                <w:szCs w:val="20"/>
                <w:lang w:val="en-GB"/>
              </w:rPr>
              <w:t>Intention to expand to 40% starting in 2026. Managed by the Office of Film and Cultural Investments.</w:t>
            </w:r>
          </w:p>
        </w:tc>
      </w:tr>
      <w:tr w:rsidR="00836639" w:rsidRPr="003E056B" w14:paraId="6B29E4AC" w14:textId="77777777">
        <w:tc>
          <w:tcPr>
            <w:tcW w:w="1461" w:type="dxa"/>
            <w:vAlign w:val="center"/>
          </w:tcPr>
          <w:p w14:paraId="61E4CB24" w14:textId="77777777" w:rsidR="00836639" w:rsidRDefault="00000000">
            <w:pPr>
              <w:widowControl/>
              <w:rPr>
                <w:sz w:val="20"/>
                <w:szCs w:val="20"/>
              </w:rPr>
            </w:pPr>
            <w:r>
              <w:rPr>
                <w:sz w:val="20"/>
                <w:szCs w:val="20"/>
              </w:rPr>
              <w:t xml:space="preserve">Czech </w:t>
            </w:r>
            <w:proofErr w:type="spellStart"/>
            <w:r>
              <w:rPr>
                <w:sz w:val="20"/>
                <w:szCs w:val="20"/>
              </w:rPr>
              <w:t>Republic</w:t>
            </w:r>
            <w:proofErr w:type="spellEnd"/>
            <w:r>
              <w:rPr>
                <w:sz w:val="20"/>
                <w:szCs w:val="20"/>
              </w:rPr>
              <w:t xml:space="preserve"> (</w:t>
            </w:r>
            <w:proofErr w:type="spellStart"/>
            <w:r>
              <w:rPr>
                <w:sz w:val="20"/>
                <w:szCs w:val="20"/>
              </w:rPr>
              <w:t>Production</w:t>
            </w:r>
            <w:proofErr w:type="spellEnd"/>
            <w:r>
              <w:rPr>
                <w:sz w:val="20"/>
                <w:szCs w:val="20"/>
              </w:rPr>
              <w:t xml:space="preserve"> Incentives)</w:t>
            </w:r>
          </w:p>
        </w:tc>
        <w:tc>
          <w:tcPr>
            <w:tcW w:w="1582" w:type="dxa"/>
            <w:vAlign w:val="center"/>
          </w:tcPr>
          <w:p w14:paraId="21520EDA" w14:textId="77777777" w:rsidR="00836639" w:rsidRDefault="00000000">
            <w:pPr>
              <w:widowControl/>
              <w:jc w:val="both"/>
              <w:rPr>
                <w:sz w:val="20"/>
                <w:szCs w:val="20"/>
              </w:rPr>
            </w:pPr>
            <w:r>
              <w:rPr>
                <w:sz w:val="20"/>
                <w:szCs w:val="20"/>
              </w:rPr>
              <w:t>25-35 %</w:t>
            </w:r>
          </w:p>
        </w:tc>
        <w:tc>
          <w:tcPr>
            <w:tcW w:w="3828" w:type="dxa"/>
            <w:vAlign w:val="center"/>
          </w:tcPr>
          <w:p w14:paraId="641094D0" w14:textId="77777777" w:rsidR="00836639" w:rsidRPr="003E056B" w:rsidRDefault="00000000">
            <w:pPr>
              <w:widowControl/>
              <w:jc w:val="both"/>
              <w:rPr>
                <w:sz w:val="20"/>
                <w:szCs w:val="20"/>
                <w:lang w:val="en-GB"/>
              </w:rPr>
            </w:pPr>
            <w:r w:rsidRPr="003E056B">
              <w:rPr>
                <w:sz w:val="20"/>
                <w:szCs w:val="20"/>
                <w:lang w:val="en-GB"/>
              </w:rPr>
              <w:t>2025 reform plans higher tiers for animation and digital. Managed by the Czech Audiovisual Fund and Czech Film Commission.</w:t>
            </w:r>
          </w:p>
        </w:tc>
      </w:tr>
      <w:tr w:rsidR="00836639" w14:paraId="3F193AE2" w14:textId="77777777">
        <w:tc>
          <w:tcPr>
            <w:tcW w:w="1461" w:type="dxa"/>
            <w:vAlign w:val="center"/>
          </w:tcPr>
          <w:p w14:paraId="41369704" w14:textId="77777777" w:rsidR="00836639" w:rsidRPr="003E056B" w:rsidRDefault="00000000">
            <w:pPr>
              <w:widowControl/>
              <w:rPr>
                <w:sz w:val="20"/>
                <w:szCs w:val="20"/>
                <w:lang w:val="en-GB"/>
              </w:rPr>
            </w:pPr>
            <w:r w:rsidRPr="003E056B">
              <w:rPr>
                <w:sz w:val="20"/>
                <w:szCs w:val="20"/>
                <w:lang w:val="en-GB"/>
              </w:rPr>
              <w:t>Hungary (Film Incentive – Tax Rebate)</w:t>
            </w:r>
          </w:p>
        </w:tc>
        <w:tc>
          <w:tcPr>
            <w:tcW w:w="1582" w:type="dxa"/>
            <w:vAlign w:val="center"/>
          </w:tcPr>
          <w:p w14:paraId="664C4A18" w14:textId="77777777" w:rsidR="00836639" w:rsidRDefault="00000000">
            <w:pPr>
              <w:widowControl/>
              <w:jc w:val="both"/>
              <w:rPr>
                <w:sz w:val="20"/>
                <w:szCs w:val="20"/>
              </w:rPr>
            </w:pPr>
            <w:r>
              <w:rPr>
                <w:sz w:val="20"/>
                <w:szCs w:val="20"/>
              </w:rPr>
              <w:t xml:space="preserve">30 % (up </w:t>
            </w:r>
            <w:proofErr w:type="spellStart"/>
            <w:r>
              <w:rPr>
                <w:sz w:val="20"/>
                <w:szCs w:val="20"/>
              </w:rPr>
              <w:t>to</w:t>
            </w:r>
            <w:proofErr w:type="spellEnd"/>
            <w:r>
              <w:rPr>
                <w:sz w:val="20"/>
                <w:szCs w:val="20"/>
              </w:rPr>
              <w:t xml:space="preserve"> 37,5 % base)</w:t>
            </w:r>
          </w:p>
        </w:tc>
        <w:tc>
          <w:tcPr>
            <w:tcW w:w="3828" w:type="dxa"/>
            <w:vAlign w:val="center"/>
          </w:tcPr>
          <w:p w14:paraId="17C36C2A" w14:textId="77777777" w:rsidR="00836639" w:rsidRDefault="00000000">
            <w:pPr>
              <w:widowControl/>
              <w:jc w:val="both"/>
              <w:rPr>
                <w:sz w:val="20"/>
                <w:szCs w:val="20"/>
              </w:rPr>
            </w:pPr>
            <w:r w:rsidRPr="003E056B">
              <w:rPr>
                <w:sz w:val="20"/>
                <w:szCs w:val="20"/>
                <w:lang w:val="en-GB"/>
              </w:rPr>
              <w:t xml:space="preserve">30% on Hungarian spend; part of non-Hungarian spend may be included in the calculation. </w:t>
            </w:r>
            <w:proofErr w:type="spellStart"/>
            <w:r>
              <w:rPr>
                <w:sz w:val="20"/>
                <w:szCs w:val="20"/>
              </w:rPr>
              <w:t>Managed</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National</w:t>
            </w:r>
            <w:proofErr w:type="spellEnd"/>
            <w:r>
              <w:rPr>
                <w:sz w:val="20"/>
                <w:szCs w:val="20"/>
              </w:rPr>
              <w:t xml:space="preserve"> Film </w:t>
            </w:r>
            <w:proofErr w:type="spellStart"/>
            <w:r>
              <w:rPr>
                <w:sz w:val="20"/>
                <w:szCs w:val="20"/>
              </w:rPr>
              <w:t>Institute</w:t>
            </w:r>
            <w:proofErr w:type="spellEnd"/>
            <w:r>
              <w:rPr>
                <w:sz w:val="20"/>
                <w:szCs w:val="20"/>
              </w:rPr>
              <w:t>.</w:t>
            </w:r>
          </w:p>
        </w:tc>
      </w:tr>
      <w:tr w:rsidR="00836639" w14:paraId="2D5094EC" w14:textId="77777777">
        <w:tc>
          <w:tcPr>
            <w:tcW w:w="1461" w:type="dxa"/>
            <w:vAlign w:val="center"/>
          </w:tcPr>
          <w:p w14:paraId="45F4CFB6" w14:textId="77777777" w:rsidR="00836639" w:rsidRDefault="00000000">
            <w:pPr>
              <w:widowControl/>
              <w:ind w:right="4"/>
              <w:rPr>
                <w:sz w:val="20"/>
                <w:szCs w:val="20"/>
              </w:rPr>
            </w:pPr>
            <w:proofErr w:type="spellStart"/>
            <w:r>
              <w:rPr>
                <w:sz w:val="20"/>
                <w:szCs w:val="20"/>
              </w:rPr>
              <w:t>Lithuania</w:t>
            </w:r>
            <w:proofErr w:type="spellEnd"/>
            <w:r>
              <w:rPr>
                <w:sz w:val="20"/>
                <w:szCs w:val="20"/>
              </w:rPr>
              <w:t xml:space="preserve"> (Film Tax Incentive)</w:t>
            </w:r>
          </w:p>
        </w:tc>
        <w:tc>
          <w:tcPr>
            <w:tcW w:w="1582" w:type="dxa"/>
            <w:vAlign w:val="center"/>
          </w:tcPr>
          <w:p w14:paraId="5BD14A43" w14:textId="77777777" w:rsidR="00836639" w:rsidRDefault="00000000">
            <w:pPr>
              <w:widowControl/>
              <w:jc w:val="both"/>
              <w:rPr>
                <w:sz w:val="20"/>
                <w:szCs w:val="20"/>
              </w:rPr>
            </w:pPr>
            <w:r>
              <w:rPr>
                <w:sz w:val="20"/>
                <w:szCs w:val="20"/>
              </w:rPr>
              <w:t xml:space="preserve">Up </w:t>
            </w:r>
            <w:proofErr w:type="spellStart"/>
            <w:r>
              <w:rPr>
                <w:sz w:val="20"/>
                <w:szCs w:val="20"/>
              </w:rPr>
              <w:t>to</w:t>
            </w:r>
            <w:proofErr w:type="spellEnd"/>
            <w:r>
              <w:rPr>
                <w:sz w:val="20"/>
                <w:szCs w:val="20"/>
              </w:rPr>
              <w:t xml:space="preserve"> 30 %</w:t>
            </w:r>
          </w:p>
        </w:tc>
        <w:tc>
          <w:tcPr>
            <w:tcW w:w="3828" w:type="dxa"/>
            <w:vAlign w:val="center"/>
          </w:tcPr>
          <w:p w14:paraId="071AE1AE" w14:textId="77777777" w:rsidR="00836639" w:rsidRDefault="00000000">
            <w:pPr>
              <w:widowControl/>
              <w:jc w:val="both"/>
              <w:rPr>
                <w:sz w:val="20"/>
                <w:szCs w:val="20"/>
              </w:rPr>
            </w:pPr>
            <w:r w:rsidRPr="003E056B">
              <w:rPr>
                <w:sz w:val="20"/>
                <w:szCs w:val="20"/>
                <w:lang w:val="en-GB"/>
              </w:rPr>
              <w:t xml:space="preserve">Subject to cultural test; minimum expenditure of €43,000 in Lithuania. </w:t>
            </w:r>
            <w:proofErr w:type="spellStart"/>
            <w:r>
              <w:rPr>
                <w:sz w:val="20"/>
                <w:szCs w:val="20"/>
              </w:rPr>
              <w:t>Managed</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Lithuanian</w:t>
            </w:r>
            <w:proofErr w:type="spellEnd"/>
            <w:r>
              <w:rPr>
                <w:sz w:val="20"/>
                <w:szCs w:val="20"/>
              </w:rPr>
              <w:t xml:space="preserve"> Film Centre.</w:t>
            </w:r>
          </w:p>
        </w:tc>
      </w:tr>
    </w:tbl>
    <w:p w14:paraId="076DEADE" w14:textId="77777777" w:rsidR="00836639" w:rsidRPr="003E056B" w:rsidRDefault="00000000">
      <w:pPr>
        <w:widowControl/>
        <w:pBdr>
          <w:top w:val="nil"/>
          <w:left w:val="nil"/>
          <w:bottom w:val="nil"/>
          <w:right w:val="nil"/>
          <w:between w:val="nil"/>
        </w:pBdr>
        <w:spacing w:after="80"/>
        <w:ind w:left="646" w:right="684"/>
        <w:jc w:val="center"/>
        <w:rPr>
          <w:color w:val="000000"/>
          <w:sz w:val="18"/>
          <w:szCs w:val="18"/>
          <w:lang w:val="en-GB"/>
        </w:rPr>
      </w:pPr>
      <w:r w:rsidRPr="003E056B">
        <w:rPr>
          <w:color w:val="231F20"/>
          <w:sz w:val="18"/>
          <w:szCs w:val="18"/>
          <w:lang w:val="en-GB"/>
        </w:rPr>
        <w:t>Source: Own elaboration based on the sources from Appendix I.</w:t>
      </w:r>
    </w:p>
    <w:p w14:paraId="1ED804EB"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60415CAC"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 xml:space="preserve">In the Spanish context, the 2012–2025 period shows a clear shift from the absence of specific incentives to the consolidation of a competitive regime. The Media Research &amp; Consultancy report (2012, p. 21), prepared prior to the regulatory change, quantified the cost of lacking tax exemptions with a severe diagnosis: potential annual losses close to </w:t>
      </w:r>
      <w:r w:rsidRPr="003E056B">
        <w:rPr>
          <w:sz w:val="20"/>
          <w:szCs w:val="20"/>
          <w:lang w:val="en-GB"/>
        </w:rPr>
        <w:lastRenderedPageBreak/>
        <w:t>900 million euros, project diversion, and a significant reduction in filming volume in Spain. Another of its conclusions was that "1 public euro produces another 4 in the filming economy" and that “the application of a tax rebate with a 16% return for the foreign producer (...) would lead us to obtain an impact of another €5.25” (Ibid.).</w:t>
      </w:r>
    </w:p>
    <w:p w14:paraId="468D2041"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2F1B3B6D"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Subsequently, Article 36 of the LIS (Corporate Income Tax Law), in effect since 2015, introduced for the first time a dual scheme that set a 20% refund on the first million and 18% on the excess for Spanish productions, and 15% for foreign productions, subject to minimum expenditure and with a refund cap. The 2017 reform increased the deduction for Spanish works to 25% for the first million and 20% for the remainder, and to 20% for foreign works. The May 2020 renewal brought the system to its current levels: 30% for the first million and 25% for the rest, with a limit of 10 million per episode for series and 20 million per production, except in territories such as Navarre and the Canary Islands, where the rebate stands at 35% and 50%, respectively (</w:t>
      </w:r>
      <w:proofErr w:type="spellStart"/>
      <w:r w:rsidRPr="003E056B">
        <w:rPr>
          <w:sz w:val="20"/>
          <w:szCs w:val="20"/>
          <w:lang w:val="en-GB"/>
        </w:rPr>
        <w:t>Jefatura</w:t>
      </w:r>
      <w:proofErr w:type="spellEnd"/>
      <w:r w:rsidRPr="003E056B">
        <w:rPr>
          <w:sz w:val="20"/>
          <w:szCs w:val="20"/>
          <w:lang w:val="en-GB"/>
        </w:rPr>
        <w:t xml:space="preserve"> del Estado, 2020, pp. 62-65).</w:t>
      </w:r>
    </w:p>
    <w:p w14:paraId="42C387F5" w14:textId="77777777" w:rsidR="00836639" w:rsidRPr="003E056B" w:rsidRDefault="00836639">
      <w:pPr>
        <w:widowControl/>
        <w:pBdr>
          <w:top w:val="nil"/>
          <w:left w:val="nil"/>
          <w:bottom w:val="nil"/>
          <w:right w:val="nil"/>
          <w:between w:val="nil"/>
        </w:pBdr>
        <w:spacing w:after="80"/>
        <w:ind w:right="370"/>
        <w:jc w:val="both"/>
        <w:rPr>
          <w:sz w:val="20"/>
          <w:szCs w:val="20"/>
          <w:lang w:val="en-GB"/>
        </w:rPr>
      </w:pPr>
    </w:p>
    <w:p w14:paraId="6243A728"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Finally, the pull effect of these measures on the streaming market can be seen by overlaying the chronology of incentives with the arrival of OTT platforms. Following the entry into force of the aforementioned Article 36, Netflix announced its arrival and launched its service in Spain in October 2015 (Marcos-</w:t>
      </w:r>
      <w:proofErr w:type="spellStart"/>
      <w:r w:rsidRPr="003E056B">
        <w:rPr>
          <w:sz w:val="20"/>
          <w:szCs w:val="20"/>
          <w:lang w:val="en-GB"/>
        </w:rPr>
        <w:t>Guillamas</w:t>
      </w:r>
      <w:proofErr w:type="spellEnd"/>
      <w:r w:rsidRPr="003E056B">
        <w:rPr>
          <w:sz w:val="20"/>
          <w:szCs w:val="20"/>
          <w:lang w:val="en-GB"/>
        </w:rPr>
        <w:t>, 2015); HBO has operated since November 2016 (Fernández-Díaz, 2016); Prime Video did so in December 2016 (La Vanguardia); and Disney+ started its service in March 2020 (Portal Disney, 2020). Without attributing strict causality, the temporal juxtaposition between the creation and improvement of the tax rebate and the commercial consolidation of OTTs in the country is potentially consistent with the projections made by Media Research &amp; Consultancy (2012, p. 21) regarding the relationship between incentives and the volume of filming production.</w:t>
      </w:r>
    </w:p>
    <w:p w14:paraId="58708B9C" w14:textId="77777777" w:rsidR="00836639" w:rsidRPr="003E056B" w:rsidRDefault="00836639">
      <w:pPr>
        <w:pStyle w:val="Ttulo2"/>
        <w:ind w:left="426"/>
        <w:rPr>
          <w:color w:val="984806"/>
          <w:lang w:val="en-GB"/>
        </w:rPr>
      </w:pPr>
    </w:p>
    <w:p w14:paraId="70A8D6F4" w14:textId="77777777" w:rsidR="00836639" w:rsidRPr="003E056B" w:rsidRDefault="00000000">
      <w:pPr>
        <w:pStyle w:val="Ttulo2"/>
        <w:ind w:left="426"/>
        <w:rPr>
          <w:color w:val="984806"/>
          <w:lang w:val="en-GB"/>
        </w:rPr>
      </w:pPr>
      <w:r w:rsidRPr="003E056B">
        <w:rPr>
          <w:color w:val="984806"/>
          <w:lang w:val="en-GB"/>
        </w:rPr>
        <w:t>4.2. Andalusia as a paradigm of audiovisual management: stakeholders and the centrality of film shoots</w:t>
      </w:r>
    </w:p>
    <w:p w14:paraId="184B5570" w14:textId="77777777" w:rsidR="00836639" w:rsidRPr="003E056B" w:rsidRDefault="00836639">
      <w:pPr>
        <w:widowControl/>
        <w:pBdr>
          <w:top w:val="nil"/>
          <w:left w:val="nil"/>
          <w:bottom w:val="nil"/>
          <w:right w:val="nil"/>
          <w:between w:val="nil"/>
        </w:pBdr>
        <w:spacing w:after="80"/>
        <w:ind w:right="370"/>
        <w:jc w:val="both"/>
        <w:rPr>
          <w:color w:val="231F20"/>
          <w:sz w:val="20"/>
          <w:szCs w:val="20"/>
          <w:lang w:val="en-GB"/>
        </w:rPr>
      </w:pPr>
    </w:p>
    <w:p w14:paraId="1D197AD6" w14:textId="77777777" w:rsidR="00836639" w:rsidRPr="003E056B" w:rsidRDefault="00000000">
      <w:pPr>
        <w:widowControl/>
        <w:pBdr>
          <w:top w:val="nil"/>
          <w:left w:val="nil"/>
          <w:bottom w:val="nil"/>
          <w:right w:val="nil"/>
          <w:between w:val="nil"/>
        </w:pBdr>
        <w:spacing w:after="80"/>
        <w:ind w:left="426" w:right="370"/>
        <w:jc w:val="both"/>
        <w:rPr>
          <w:color w:val="231F20"/>
          <w:sz w:val="20"/>
          <w:szCs w:val="20"/>
          <w:lang w:val="en-GB"/>
        </w:rPr>
      </w:pPr>
      <w:r w:rsidRPr="003E056B">
        <w:rPr>
          <w:color w:val="231F20"/>
          <w:sz w:val="20"/>
          <w:szCs w:val="20"/>
          <w:lang w:val="en-GB"/>
        </w:rPr>
        <w:t xml:space="preserve">Andalusia's performance as a filming hub rests on a clear institutional architecture and strategically coordinated services (Huerta-Viso, 2024, pp. 507-511). At the regional level, the Andalucía Film Commission (henceforth, AFC) acts as the organizing node and underpins the Network of Film Cities (Red de </w:t>
      </w:r>
      <w:proofErr w:type="spellStart"/>
      <w:r w:rsidRPr="003E056B">
        <w:rPr>
          <w:color w:val="231F20"/>
          <w:sz w:val="20"/>
          <w:szCs w:val="20"/>
          <w:lang w:val="en-GB"/>
        </w:rPr>
        <w:t>Ciudades</w:t>
      </w:r>
      <w:proofErr w:type="spellEnd"/>
      <w:r w:rsidRPr="003E056B">
        <w:rPr>
          <w:color w:val="231F20"/>
          <w:sz w:val="20"/>
          <w:szCs w:val="20"/>
          <w:lang w:val="en-GB"/>
        </w:rPr>
        <w:t xml:space="preserve"> de Cine), a framework where 36 FCs/FOs converge (Table 2), as of September 2025 (Andalucía Film Commission, 2025a). This soft infrastructure provides territorial coverage, reduces pre-production friction, homogenizes documentation, and shortens processing times—critical factors for platforms and studios within tight scheduling contexts. Furthermore, the Network continues to expand, as evidenced by the recent addition of the FOs of Arcos de la Frontera, Baena, and Vejer over the last 12 months.</w:t>
      </w:r>
    </w:p>
    <w:p w14:paraId="758A32B7" w14:textId="77777777" w:rsidR="00836639" w:rsidRPr="003E056B" w:rsidRDefault="00836639">
      <w:pPr>
        <w:widowControl/>
        <w:pBdr>
          <w:top w:val="nil"/>
          <w:left w:val="nil"/>
          <w:bottom w:val="nil"/>
          <w:right w:val="nil"/>
          <w:between w:val="nil"/>
        </w:pBdr>
        <w:spacing w:after="80"/>
        <w:ind w:left="426" w:right="370"/>
        <w:jc w:val="both"/>
        <w:rPr>
          <w:color w:val="231F20"/>
          <w:sz w:val="20"/>
          <w:szCs w:val="20"/>
          <w:lang w:val="en-GB"/>
        </w:rPr>
      </w:pPr>
    </w:p>
    <w:p w14:paraId="51C8818D" w14:textId="77777777" w:rsidR="00836639" w:rsidRPr="003E056B" w:rsidRDefault="00000000">
      <w:pPr>
        <w:widowControl/>
        <w:pBdr>
          <w:top w:val="nil"/>
          <w:left w:val="nil"/>
          <w:bottom w:val="nil"/>
          <w:right w:val="nil"/>
          <w:between w:val="nil"/>
        </w:pBdr>
        <w:spacing w:after="80"/>
        <w:ind w:left="426" w:right="370"/>
        <w:jc w:val="center"/>
        <w:rPr>
          <w:color w:val="231F20"/>
          <w:sz w:val="20"/>
          <w:szCs w:val="20"/>
          <w:lang w:val="en-GB"/>
        </w:rPr>
      </w:pPr>
      <w:r w:rsidRPr="003E056B">
        <w:rPr>
          <w:color w:val="231F20"/>
          <w:sz w:val="20"/>
          <w:szCs w:val="20"/>
          <w:lang w:val="en-GB"/>
        </w:rPr>
        <w:t>Table 2. FC/FOs making up the "Network of Film Cities," by provinces.</w:t>
      </w:r>
    </w:p>
    <w:p w14:paraId="141EEDCB" w14:textId="77777777" w:rsidR="00836639" w:rsidRPr="003E056B" w:rsidRDefault="00836639">
      <w:pPr>
        <w:widowControl/>
        <w:pBdr>
          <w:top w:val="nil"/>
          <w:left w:val="nil"/>
          <w:bottom w:val="nil"/>
          <w:right w:val="nil"/>
          <w:between w:val="nil"/>
        </w:pBdr>
        <w:spacing w:after="80"/>
        <w:ind w:left="426" w:right="370"/>
        <w:jc w:val="center"/>
        <w:rPr>
          <w:color w:val="231F20"/>
          <w:sz w:val="20"/>
          <w:szCs w:val="20"/>
          <w:lang w:val="en-GB"/>
        </w:rPr>
      </w:pPr>
    </w:p>
    <w:tbl>
      <w:tblPr>
        <w:tblStyle w:val="a5"/>
        <w:tblW w:w="683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6"/>
        <w:gridCol w:w="5936"/>
      </w:tblGrid>
      <w:tr w:rsidR="00836639" w:rsidRPr="003E056B" w14:paraId="6536CEB7" w14:textId="77777777">
        <w:trPr>
          <w:tblHeader/>
        </w:trPr>
        <w:tc>
          <w:tcPr>
            <w:tcW w:w="896" w:type="dxa"/>
            <w:vAlign w:val="center"/>
          </w:tcPr>
          <w:p w14:paraId="019549FC" w14:textId="77777777" w:rsidR="00836639" w:rsidRDefault="00000000">
            <w:pPr>
              <w:widowControl/>
              <w:jc w:val="center"/>
              <w:rPr>
                <w:b/>
                <w:bCs/>
                <w:sz w:val="20"/>
                <w:szCs w:val="20"/>
              </w:rPr>
            </w:pPr>
            <w:r>
              <w:rPr>
                <w:b/>
                <w:bCs/>
                <w:color w:val="231F20"/>
                <w:sz w:val="20"/>
                <w:szCs w:val="20"/>
              </w:rPr>
              <w:lastRenderedPageBreak/>
              <w:t>Province</w:t>
            </w:r>
          </w:p>
        </w:tc>
        <w:tc>
          <w:tcPr>
            <w:tcW w:w="5936" w:type="dxa"/>
            <w:vAlign w:val="center"/>
          </w:tcPr>
          <w:p w14:paraId="5743F5BA" w14:textId="77777777" w:rsidR="00836639" w:rsidRPr="003E056B" w:rsidRDefault="00000000">
            <w:pPr>
              <w:widowControl/>
              <w:jc w:val="center"/>
              <w:rPr>
                <w:b/>
                <w:bCs/>
                <w:sz w:val="20"/>
                <w:szCs w:val="20"/>
                <w:lang w:val="en-GB"/>
              </w:rPr>
            </w:pPr>
            <w:r w:rsidRPr="003E056B">
              <w:rPr>
                <w:b/>
                <w:bCs/>
                <w:sz w:val="20"/>
                <w:szCs w:val="20"/>
                <w:lang w:val="en-GB"/>
              </w:rPr>
              <w:t>FCs/FOs associated with the AFC's Network of Film Cities</w:t>
            </w:r>
          </w:p>
        </w:tc>
      </w:tr>
      <w:tr w:rsidR="00836639" w14:paraId="084A17E1" w14:textId="77777777">
        <w:trPr>
          <w:tblHeader/>
        </w:trPr>
        <w:tc>
          <w:tcPr>
            <w:tcW w:w="896" w:type="dxa"/>
            <w:vAlign w:val="center"/>
          </w:tcPr>
          <w:p w14:paraId="02A5283D" w14:textId="77777777" w:rsidR="00836639" w:rsidRDefault="00000000">
            <w:pPr>
              <w:widowControl/>
              <w:jc w:val="both"/>
              <w:rPr>
                <w:sz w:val="20"/>
                <w:szCs w:val="20"/>
              </w:rPr>
            </w:pPr>
            <w:r>
              <w:rPr>
                <w:sz w:val="20"/>
                <w:szCs w:val="20"/>
              </w:rPr>
              <w:t>Almería</w:t>
            </w:r>
          </w:p>
        </w:tc>
        <w:tc>
          <w:tcPr>
            <w:tcW w:w="5936" w:type="dxa"/>
            <w:vAlign w:val="center"/>
          </w:tcPr>
          <w:p w14:paraId="150552E7" w14:textId="77777777" w:rsidR="00836639" w:rsidRDefault="00000000">
            <w:pPr>
              <w:widowControl/>
              <w:jc w:val="both"/>
              <w:rPr>
                <w:sz w:val="20"/>
                <w:szCs w:val="20"/>
              </w:rPr>
            </w:pPr>
            <w:r>
              <w:rPr>
                <w:sz w:val="20"/>
                <w:szCs w:val="20"/>
              </w:rPr>
              <w:t>Almería FO, Níjar FO, Roquetas FO y Tabernas FO</w:t>
            </w:r>
          </w:p>
        </w:tc>
      </w:tr>
      <w:tr w:rsidR="00836639" w14:paraId="58B3EF7A" w14:textId="77777777">
        <w:trPr>
          <w:tblHeader/>
        </w:trPr>
        <w:tc>
          <w:tcPr>
            <w:tcW w:w="896" w:type="dxa"/>
            <w:vAlign w:val="center"/>
          </w:tcPr>
          <w:p w14:paraId="1D82C072" w14:textId="77777777" w:rsidR="00836639" w:rsidRDefault="00000000">
            <w:pPr>
              <w:widowControl/>
              <w:jc w:val="both"/>
              <w:rPr>
                <w:sz w:val="20"/>
                <w:szCs w:val="20"/>
              </w:rPr>
            </w:pPr>
            <w:r>
              <w:rPr>
                <w:sz w:val="20"/>
                <w:szCs w:val="20"/>
              </w:rPr>
              <w:t>Cádiz</w:t>
            </w:r>
          </w:p>
        </w:tc>
        <w:tc>
          <w:tcPr>
            <w:tcW w:w="5936" w:type="dxa"/>
            <w:vAlign w:val="center"/>
          </w:tcPr>
          <w:p w14:paraId="3C1DA79C" w14:textId="77777777" w:rsidR="00836639" w:rsidRDefault="00000000">
            <w:pPr>
              <w:widowControl/>
              <w:jc w:val="both"/>
              <w:rPr>
                <w:sz w:val="20"/>
                <w:szCs w:val="20"/>
              </w:rPr>
            </w:pPr>
            <w:r>
              <w:rPr>
                <w:sz w:val="20"/>
                <w:szCs w:val="20"/>
              </w:rPr>
              <w:t>Arcos de la Frontera FO, Bornos FO, Cádiz FO, Conil FO, Jerez FO, Puerto de Sta. María FO, Rota FO, San Fernando FO, Tarifa FO y Vejer FO</w:t>
            </w:r>
          </w:p>
        </w:tc>
      </w:tr>
      <w:tr w:rsidR="00836639" w14:paraId="229DBA21" w14:textId="77777777">
        <w:trPr>
          <w:tblHeader/>
        </w:trPr>
        <w:tc>
          <w:tcPr>
            <w:tcW w:w="896" w:type="dxa"/>
            <w:vAlign w:val="center"/>
          </w:tcPr>
          <w:p w14:paraId="09F6F311" w14:textId="77777777" w:rsidR="00836639" w:rsidRDefault="00000000">
            <w:pPr>
              <w:widowControl/>
              <w:jc w:val="both"/>
              <w:rPr>
                <w:sz w:val="20"/>
                <w:szCs w:val="20"/>
              </w:rPr>
            </w:pPr>
            <w:r>
              <w:rPr>
                <w:sz w:val="20"/>
                <w:szCs w:val="20"/>
              </w:rPr>
              <w:t>Córdoba</w:t>
            </w:r>
          </w:p>
        </w:tc>
        <w:tc>
          <w:tcPr>
            <w:tcW w:w="5936" w:type="dxa"/>
            <w:vAlign w:val="center"/>
          </w:tcPr>
          <w:p w14:paraId="61D77B30" w14:textId="77777777" w:rsidR="00836639" w:rsidRDefault="00000000">
            <w:pPr>
              <w:widowControl/>
              <w:jc w:val="both"/>
              <w:rPr>
                <w:sz w:val="20"/>
                <w:szCs w:val="20"/>
              </w:rPr>
            </w:pPr>
            <w:r>
              <w:rPr>
                <w:sz w:val="20"/>
                <w:szCs w:val="20"/>
              </w:rPr>
              <w:t>Baena FO, Cabra FO, Córdoba FO, Montilla FO y Priego de Córdoba FO</w:t>
            </w:r>
          </w:p>
        </w:tc>
      </w:tr>
      <w:tr w:rsidR="00836639" w14:paraId="12B5B696" w14:textId="77777777">
        <w:tc>
          <w:tcPr>
            <w:tcW w:w="896" w:type="dxa"/>
            <w:vAlign w:val="center"/>
          </w:tcPr>
          <w:p w14:paraId="17FA47BA" w14:textId="77777777" w:rsidR="00836639" w:rsidRDefault="00000000">
            <w:pPr>
              <w:widowControl/>
              <w:jc w:val="both"/>
              <w:rPr>
                <w:sz w:val="20"/>
                <w:szCs w:val="20"/>
              </w:rPr>
            </w:pPr>
            <w:r>
              <w:rPr>
                <w:sz w:val="20"/>
                <w:szCs w:val="20"/>
              </w:rPr>
              <w:t>Granada</w:t>
            </w:r>
          </w:p>
        </w:tc>
        <w:tc>
          <w:tcPr>
            <w:tcW w:w="5936" w:type="dxa"/>
            <w:vAlign w:val="center"/>
          </w:tcPr>
          <w:p w14:paraId="779E65D6" w14:textId="77777777" w:rsidR="00836639" w:rsidRDefault="00000000">
            <w:pPr>
              <w:widowControl/>
              <w:jc w:val="both"/>
              <w:rPr>
                <w:sz w:val="20"/>
                <w:szCs w:val="20"/>
              </w:rPr>
            </w:pPr>
            <w:r>
              <w:rPr>
                <w:sz w:val="20"/>
                <w:szCs w:val="20"/>
              </w:rPr>
              <w:t>Granada FO y Guadix FO</w:t>
            </w:r>
          </w:p>
        </w:tc>
      </w:tr>
      <w:tr w:rsidR="00836639" w14:paraId="75DA3CA6" w14:textId="77777777">
        <w:tc>
          <w:tcPr>
            <w:tcW w:w="896" w:type="dxa"/>
            <w:vAlign w:val="center"/>
          </w:tcPr>
          <w:p w14:paraId="602A4513" w14:textId="77777777" w:rsidR="00836639" w:rsidRDefault="00000000">
            <w:pPr>
              <w:widowControl/>
              <w:jc w:val="both"/>
              <w:rPr>
                <w:sz w:val="20"/>
                <w:szCs w:val="20"/>
              </w:rPr>
            </w:pPr>
            <w:r>
              <w:rPr>
                <w:sz w:val="20"/>
                <w:szCs w:val="20"/>
              </w:rPr>
              <w:t>Huelva</w:t>
            </w:r>
          </w:p>
        </w:tc>
        <w:tc>
          <w:tcPr>
            <w:tcW w:w="5936" w:type="dxa"/>
            <w:vAlign w:val="center"/>
          </w:tcPr>
          <w:p w14:paraId="50A8C6AA" w14:textId="77777777" w:rsidR="00836639" w:rsidRDefault="00000000">
            <w:pPr>
              <w:widowControl/>
              <w:jc w:val="both"/>
              <w:rPr>
                <w:sz w:val="20"/>
                <w:szCs w:val="20"/>
              </w:rPr>
            </w:pPr>
            <w:r>
              <w:rPr>
                <w:sz w:val="20"/>
                <w:szCs w:val="20"/>
              </w:rPr>
              <w:t>Almonte FO y Huelva FC</w:t>
            </w:r>
          </w:p>
        </w:tc>
      </w:tr>
      <w:tr w:rsidR="00836639" w14:paraId="0A1E5E36" w14:textId="77777777">
        <w:tc>
          <w:tcPr>
            <w:tcW w:w="896" w:type="dxa"/>
            <w:vAlign w:val="center"/>
          </w:tcPr>
          <w:p w14:paraId="5055A4CA" w14:textId="77777777" w:rsidR="00836639" w:rsidRDefault="00000000">
            <w:pPr>
              <w:widowControl/>
              <w:jc w:val="both"/>
              <w:rPr>
                <w:sz w:val="20"/>
                <w:szCs w:val="20"/>
              </w:rPr>
            </w:pPr>
            <w:r>
              <w:rPr>
                <w:sz w:val="20"/>
                <w:szCs w:val="20"/>
              </w:rPr>
              <w:t>Jaén</w:t>
            </w:r>
          </w:p>
        </w:tc>
        <w:tc>
          <w:tcPr>
            <w:tcW w:w="5936" w:type="dxa"/>
            <w:vAlign w:val="center"/>
          </w:tcPr>
          <w:p w14:paraId="009FB639" w14:textId="77777777" w:rsidR="00836639" w:rsidRDefault="00000000">
            <w:pPr>
              <w:widowControl/>
              <w:jc w:val="both"/>
              <w:rPr>
                <w:sz w:val="20"/>
                <w:szCs w:val="20"/>
              </w:rPr>
            </w:pPr>
            <w:r>
              <w:rPr>
                <w:sz w:val="20"/>
                <w:szCs w:val="20"/>
              </w:rPr>
              <w:t>Jaén FO</w:t>
            </w:r>
          </w:p>
        </w:tc>
      </w:tr>
      <w:tr w:rsidR="00836639" w14:paraId="4A4C721A" w14:textId="77777777">
        <w:tc>
          <w:tcPr>
            <w:tcW w:w="896" w:type="dxa"/>
            <w:vAlign w:val="center"/>
          </w:tcPr>
          <w:p w14:paraId="4A10E541" w14:textId="77777777" w:rsidR="00836639" w:rsidRDefault="00000000">
            <w:pPr>
              <w:widowControl/>
              <w:jc w:val="both"/>
              <w:rPr>
                <w:sz w:val="20"/>
                <w:szCs w:val="20"/>
              </w:rPr>
            </w:pPr>
            <w:r>
              <w:rPr>
                <w:sz w:val="20"/>
                <w:szCs w:val="20"/>
              </w:rPr>
              <w:t>Málaga</w:t>
            </w:r>
          </w:p>
        </w:tc>
        <w:tc>
          <w:tcPr>
            <w:tcW w:w="5936" w:type="dxa"/>
            <w:vAlign w:val="center"/>
          </w:tcPr>
          <w:p w14:paraId="0537D754" w14:textId="77777777" w:rsidR="00836639" w:rsidRDefault="00000000">
            <w:pPr>
              <w:widowControl/>
              <w:jc w:val="both"/>
              <w:rPr>
                <w:sz w:val="20"/>
                <w:szCs w:val="20"/>
              </w:rPr>
            </w:pPr>
            <w:r>
              <w:rPr>
                <w:sz w:val="20"/>
                <w:szCs w:val="20"/>
              </w:rPr>
              <w:t>Axarquía FO, Málaga FC, Málaga FO y Marbella FO</w:t>
            </w:r>
          </w:p>
        </w:tc>
      </w:tr>
      <w:tr w:rsidR="00836639" w14:paraId="5F16780B" w14:textId="77777777">
        <w:tc>
          <w:tcPr>
            <w:tcW w:w="896" w:type="dxa"/>
            <w:vAlign w:val="center"/>
          </w:tcPr>
          <w:p w14:paraId="71C23F4F" w14:textId="77777777" w:rsidR="00836639" w:rsidRDefault="00000000">
            <w:pPr>
              <w:widowControl/>
              <w:jc w:val="both"/>
              <w:rPr>
                <w:sz w:val="20"/>
                <w:szCs w:val="20"/>
              </w:rPr>
            </w:pPr>
            <w:r>
              <w:rPr>
                <w:sz w:val="20"/>
                <w:szCs w:val="20"/>
              </w:rPr>
              <w:t>Sevilla</w:t>
            </w:r>
          </w:p>
        </w:tc>
        <w:tc>
          <w:tcPr>
            <w:tcW w:w="5936" w:type="dxa"/>
            <w:vAlign w:val="center"/>
          </w:tcPr>
          <w:p w14:paraId="4403C12B" w14:textId="77777777" w:rsidR="00836639" w:rsidRDefault="00000000">
            <w:pPr>
              <w:widowControl/>
              <w:jc w:val="both"/>
              <w:rPr>
                <w:sz w:val="20"/>
                <w:szCs w:val="20"/>
              </w:rPr>
            </w:pPr>
            <w:r>
              <w:rPr>
                <w:sz w:val="20"/>
                <w:szCs w:val="20"/>
              </w:rPr>
              <w:t>Alcalá de Guadaíra FO, Carmona FO, Cazalla de la Sierra FO, Écija FO, La Rinconada FO, Morón FO, Osuna FO y Sevilla FO</w:t>
            </w:r>
          </w:p>
        </w:tc>
      </w:tr>
    </w:tbl>
    <w:p w14:paraId="7C082DA3" w14:textId="77777777" w:rsidR="00836639" w:rsidRPr="003E056B" w:rsidRDefault="00000000">
      <w:pPr>
        <w:widowControl/>
        <w:pBdr>
          <w:top w:val="nil"/>
          <w:left w:val="nil"/>
          <w:bottom w:val="nil"/>
          <w:right w:val="nil"/>
          <w:between w:val="nil"/>
        </w:pBdr>
        <w:spacing w:after="80"/>
        <w:ind w:left="646" w:right="684"/>
        <w:jc w:val="center"/>
        <w:rPr>
          <w:color w:val="000000"/>
          <w:sz w:val="18"/>
          <w:szCs w:val="18"/>
          <w:lang w:val="en-GB"/>
        </w:rPr>
      </w:pPr>
      <w:r w:rsidRPr="003E056B">
        <w:rPr>
          <w:color w:val="231F20"/>
          <w:sz w:val="18"/>
          <w:szCs w:val="18"/>
          <w:lang w:val="en-GB"/>
        </w:rPr>
        <w:t>Source: Prepared by the author based on AFC (2025a).</w:t>
      </w:r>
    </w:p>
    <w:p w14:paraId="60CBB8C7" w14:textId="77777777" w:rsidR="00836639" w:rsidRPr="003E056B" w:rsidRDefault="00836639">
      <w:pPr>
        <w:widowControl/>
        <w:pBdr>
          <w:top w:val="nil"/>
          <w:left w:val="nil"/>
          <w:bottom w:val="nil"/>
          <w:right w:val="nil"/>
          <w:between w:val="nil"/>
        </w:pBdr>
        <w:spacing w:after="80"/>
        <w:ind w:left="426" w:right="370"/>
        <w:jc w:val="center"/>
        <w:rPr>
          <w:color w:val="231F20"/>
          <w:sz w:val="20"/>
          <w:szCs w:val="20"/>
          <w:lang w:val="en-GB"/>
        </w:rPr>
      </w:pPr>
    </w:p>
    <w:p w14:paraId="027CA029" w14:textId="77777777" w:rsidR="00836639" w:rsidRPr="003E056B" w:rsidRDefault="00000000">
      <w:pPr>
        <w:widowControl/>
        <w:pBdr>
          <w:top w:val="nil"/>
          <w:left w:val="nil"/>
          <w:bottom w:val="nil"/>
          <w:right w:val="nil"/>
          <w:between w:val="nil"/>
        </w:pBdr>
        <w:spacing w:after="80"/>
        <w:ind w:left="426" w:right="370"/>
        <w:jc w:val="both"/>
        <w:rPr>
          <w:color w:val="231F20"/>
          <w:sz w:val="20"/>
          <w:szCs w:val="20"/>
          <w:lang w:val="en-GB"/>
        </w:rPr>
      </w:pPr>
      <w:r w:rsidRPr="003E056B">
        <w:rPr>
          <w:color w:val="231F20"/>
          <w:sz w:val="20"/>
          <w:szCs w:val="20"/>
          <w:lang w:val="en-GB"/>
        </w:rPr>
        <w:t>Multi-level governance adds promotion instruments that complement the state regime and help turn the intention to film into a funded project. On one hand, the Andalusian Agency of Cultural Institutions (henceforth, AAIICC) (2025) publishes annual competitive calls for the development and production of audiovisual works, governed by 2022 regulations and with active calls for 2023–2025. On the other hand, Radio and Television of Andalusia (2025), through Canal Sur Produce, has standardized project submission and public participation and co-production procedures, increasing transparency, predictability, and risk-reduction pathways for regional and international promoters. Furthermore, the AFC (2025b) has developed a production guide that allows production companies to find local professionals and firms.</w:t>
      </w:r>
    </w:p>
    <w:p w14:paraId="0218EDA9" w14:textId="77777777" w:rsidR="00836639" w:rsidRPr="003E056B" w:rsidRDefault="00836639">
      <w:pPr>
        <w:widowControl/>
        <w:pBdr>
          <w:top w:val="nil"/>
          <w:left w:val="nil"/>
          <w:bottom w:val="nil"/>
          <w:right w:val="nil"/>
          <w:between w:val="nil"/>
        </w:pBdr>
        <w:spacing w:after="80"/>
        <w:ind w:left="426" w:right="370"/>
        <w:jc w:val="both"/>
        <w:rPr>
          <w:color w:val="231F20"/>
          <w:sz w:val="20"/>
          <w:szCs w:val="20"/>
          <w:lang w:val="en-GB"/>
        </w:rPr>
      </w:pPr>
    </w:p>
    <w:p w14:paraId="116218AF" w14:textId="77777777" w:rsidR="00836639" w:rsidRPr="003E056B" w:rsidRDefault="00000000">
      <w:pPr>
        <w:widowControl/>
        <w:pBdr>
          <w:top w:val="nil"/>
          <w:left w:val="nil"/>
          <w:bottom w:val="nil"/>
          <w:right w:val="nil"/>
          <w:between w:val="nil"/>
        </w:pBdr>
        <w:spacing w:after="80"/>
        <w:ind w:left="426" w:right="370"/>
        <w:jc w:val="both"/>
        <w:rPr>
          <w:color w:val="231F20"/>
          <w:sz w:val="20"/>
          <w:szCs w:val="20"/>
          <w:lang w:val="en-GB"/>
        </w:rPr>
      </w:pPr>
      <w:r w:rsidRPr="003E056B">
        <w:rPr>
          <w:color w:val="231F20"/>
          <w:sz w:val="20"/>
          <w:szCs w:val="20"/>
          <w:lang w:val="en-GB"/>
        </w:rPr>
        <w:t>At the municipal level, the standardisation of procedures coexists with local margins used as competitive levers. To cite a few examples, Sevilla Film &amp; Events (2025a; 2025b), acting as the Seville Film Office, allows for the online processing of general filming requests and public space occupation, and provides for fee exemptions in certain cases outlined in its Filming Guide. For its part, the Malaga Film Office (2025) centralises procedures through a single form and sets a fee of 117 euros/day for filming on public roads, which provides budgetary certainty and speeds up authorisation. In essence, the combination of these measures allows the operational package to be adjusted to the type of production, maintaining intra-regional competitiveness and clarity for the producer.</w:t>
      </w:r>
    </w:p>
    <w:p w14:paraId="7B59A318" w14:textId="77777777" w:rsidR="00836639" w:rsidRPr="003E056B" w:rsidRDefault="00836639">
      <w:pPr>
        <w:widowControl/>
        <w:pBdr>
          <w:top w:val="nil"/>
          <w:left w:val="nil"/>
          <w:bottom w:val="nil"/>
          <w:right w:val="nil"/>
          <w:between w:val="nil"/>
        </w:pBdr>
        <w:spacing w:after="80"/>
        <w:ind w:left="426" w:right="370"/>
        <w:jc w:val="both"/>
        <w:rPr>
          <w:color w:val="231F20"/>
          <w:sz w:val="20"/>
          <w:szCs w:val="20"/>
          <w:lang w:val="en-GB"/>
        </w:rPr>
      </w:pPr>
    </w:p>
    <w:p w14:paraId="38D2CAC5" w14:textId="77777777" w:rsidR="00836639" w:rsidRPr="003E056B" w:rsidRDefault="00000000">
      <w:pPr>
        <w:widowControl/>
        <w:pBdr>
          <w:top w:val="nil"/>
          <w:left w:val="nil"/>
          <w:bottom w:val="nil"/>
          <w:right w:val="nil"/>
          <w:between w:val="nil"/>
        </w:pBdr>
        <w:spacing w:after="80"/>
        <w:ind w:left="426" w:right="370"/>
        <w:jc w:val="both"/>
        <w:rPr>
          <w:color w:val="231F20"/>
          <w:sz w:val="20"/>
          <w:szCs w:val="20"/>
          <w:lang w:val="en-GB"/>
        </w:rPr>
      </w:pPr>
      <w:r w:rsidRPr="003E056B">
        <w:rPr>
          <w:color w:val="231F20"/>
          <w:sz w:val="20"/>
          <w:szCs w:val="20"/>
          <w:lang w:val="en-GB"/>
        </w:rPr>
        <w:t>Performance indicators are consistent with the ecosystem's absorption capacity and show a recovery following the pandemic shock, although the series does not describe linear growth. In 2023, Andalusia recorded 1,381 film shoots with an economic impact of 110,031,600 euros and 21,018 jobs, according to the 2023 Activity Report, the latest published to date (Andalucía Film Commission, 2024, p. 8). 2019 closed with 126,197,190 euros, 2020 dropped to 32,023,320 euros, 2021 recovered to 118,365,200 euros, 2022 reached 141,242,800 euros, and 2023 fell to 110,031,600 euros (Figure 1). Therefore, these data are read alongside the described institutional architecture to argue, without strict causal attribution, that coordination and service density contribute to maintaining a project flow compatible with OTT demand.</w:t>
      </w:r>
    </w:p>
    <w:p w14:paraId="09B9C35B" w14:textId="77777777" w:rsidR="00836639" w:rsidRPr="003E056B" w:rsidRDefault="00836639">
      <w:pPr>
        <w:widowControl/>
        <w:pBdr>
          <w:top w:val="nil"/>
          <w:left w:val="nil"/>
          <w:bottom w:val="nil"/>
          <w:right w:val="nil"/>
          <w:between w:val="nil"/>
        </w:pBdr>
        <w:spacing w:after="80"/>
        <w:ind w:left="426" w:right="370"/>
        <w:jc w:val="both"/>
        <w:rPr>
          <w:color w:val="231F20"/>
          <w:sz w:val="20"/>
          <w:szCs w:val="20"/>
          <w:lang w:val="en-GB"/>
        </w:rPr>
      </w:pPr>
    </w:p>
    <w:p w14:paraId="36884117" w14:textId="77777777" w:rsidR="00836639" w:rsidRPr="003E056B" w:rsidRDefault="00000000">
      <w:pPr>
        <w:widowControl/>
        <w:pBdr>
          <w:top w:val="nil"/>
          <w:left w:val="nil"/>
          <w:bottom w:val="nil"/>
          <w:right w:val="nil"/>
          <w:between w:val="nil"/>
        </w:pBdr>
        <w:spacing w:after="80"/>
        <w:ind w:left="426" w:right="370"/>
        <w:jc w:val="center"/>
        <w:rPr>
          <w:color w:val="231F20"/>
          <w:sz w:val="20"/>
          <w:szCs w:val="20"/>
          <w:lang w:val="en-GB"/>
        </w:rPr>
      </w:pPr>
      <w:r w:rsidRPr="003E056B">
        <w:rPr>
          <w:color w:val="231F20"/>
          <w:sz w:val="20"/>
          <w:szCs w:val="20"/>
          <w:lang w:val="en-GB"/>
        </w:rPr>
        <w:t>Figure 1. Economic impact of film shoots in Andalusia (2019-2023).</w:t>
      </w:r>
    </w:p>
    <w:p w14:paraId="2435F0B0" w14:textId="77777777" w:rsidR="00836639" w:rsidRDefault="00000000">
      <w:pPr>
        <w:widowControl/>
        <w:pBdr>
          <w:top w:val="nil"/>
          <w:left w:val="nil"/>
          <w:bottom w:val="nil"/>
          <w:right w:val="nil"/>
          <w:between w:val="nil"/>
        </w:pBdr>
        <w:ind w:left="426" w:right="370"/>
        <w:jc w:val="center"/>
        <w:rPr>
          <w:color w:val="000000"/>
          <w:sz w:val="29"/>
          <w:szCs w:val="29"/>
        </w:rPr>
      </w:pPr>
      <w:r>
        <w:rPr>
          <w:noProof/>
          <w:color w:val="000000"/>
          <w:sz w:val="29"/>
          <w:szCs w:val="29"/>
        </w:rPr>
        <w:drawing>
          <wp:inline distT="0" distB="0" distL="0" distR="0" wp14:anchorId="00DAA051" wp14:editId="5E44EAFD">
            <wp:extent cx="4228912" cy="2416600"/>
            <wp:effectExtent l="0" t="0" r="0" b="0"/>
            <wp:docPr id="4183267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228912" cy="2416600"/>
                    </a:xfrm>
                    <a:prstGeom prst="rect">
                      <a:avLst/>
                    </a:prstGeom>
                    <a:ln/>
                  </pic:spPr>
                </pic:pic>
              </a:graphicData>
            </a:graphic>
          </wp:inline>
        </w:drawing>
      </w:r>
    </w:p>
    <w:p w14:paraId="445F67E7" w14:textId="77777777" w:rsidR="00836639" w:rsidRPr="003E056B" w:rsidRDefault="00000000">
      <w:pPr>
        <w:widowControl/>
        <w:pBdr>
          <w:top w:val="nil"/>
          <w:left w:val="nil"/>
          <w:bottom w:val="nil"/>
          <w:right w:val="nil"/>
          <w:between w:val="nil"/>
        </w:pBdr>
        <w:ind w:left="646" w:right="684"/>
        <w:jc w:val="center"/>
        <w:rPr>
          <w:color w:val="231F20"/>
          <w:sz w:val="18"/>
          <w:szCs w:val="18"/>
          <w:lang w:val="en-GB"/>
        </w:rPr>
      </w:pPr>
      <w:r w:rsidRPr="003E056B">
        <w:rPr>
          <w:color w:val="231F20"/>
          <w:sz w:val="18"/>
          <w:szCs w:val="18"/>
          <w:lang w:val="en-GB"/>
        </w:rPr>
        <w:t>Source: Prepared by the author based on AFC activity reports (2024).</w:t>
      </w:r>
    </w:p>
    <w:p w14:paraId="1B21EC33" w14:textId="77777777" w:rsidR="00836639" w:rsidRPr="003E056B" w:rsidRDefault="00836639">
      <w:pPr>
        <w:widowControl/>
        <w:pBdr>
          <w:top w:val="nil"/>
          <w:left w:val="nil"/>
          <w:bottom w:val="nil"/>
          <w:right w:val="nil"/>
          <w:between w:val="nil"/>
        </w:pBdr>
        <w:spacing w:after="80"/>
        <w:ind w:right="370"/>
        <w:jc w:val="both"/>
        <w:rPr>
          <w:color w:val="000000"/>
          <w:lang w:val="en-GB"/>
        </w:rPr>
      </w:pPr>
    </w:p>
    <w:p w14:paraId="7F6F2DDA"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In summary, the Andalusian model combines a regional coordination body with a formalized municipal network, recurring promotion policies, and the participation of the public broadcaster through standardized procedures—all supported by operational services, such as the one-stop shop or the creation of guides and directories, and the periodic preparation of reports that evaluate audiovisual activity. This framework integrates soft infrastructure and state incentives into a stable and measurable project flow, aligned with the demands of serial streaming production. The following section examines, with the same approach, the institutional configuration and capabilities of the Valencian Community.</w:t>
      </w:r>
    </w:p>
    <w:p w14:paraId="673EEF6A"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7473B303" w14:textId="77777777" w:rsidR="00836639" w:rsidRPr="003E056B" w:rsidRDefault="00000000">
      <w:pPr>
        <w:pStyle w:val="Ttulo2"/>
        <w:ind w:left="426"/>
        <w:rPr>
          <w:color w:val="984806"/>
          <w:lang w:val="en-GB"/>
        </w:rPr>
      </w:pPr>
      <w:r w:rsidRPr="003E056B">
        <w:rPr>
          <w:color w:val="984806"/>
          <w:lang w:val="en-GB"/>
        </w:rPr>
        <w:t>4.3. Audiovisual ecosystem of the Valencian Community (2012–2025): from institutional disruption to polycentric reconstruction</w:t>
      </w:r>
    </w:p>
    <w:p w14:paraId="15A75D73" w14:textId="77777777" w:rsidR="00836639" w:rsidRPr="003E056B" w:rsidRDefault="00836639">
      <w:pPr>
        <w:widowControl/>
        <w:pBdr>
          <w:top w:val="nil"/>
          <w:left w:val="nil"/>
          <w:bottom w:val="nil"/>
          <w:right w:val="nil"/>
          <w:between w:val="nil"/>
        </w:pBdr>
        <w:spacing w:after="80"/>
        <w:ind w:left="426" w:right="370"/>
        <w:jc w:val="both"/>
        <w:rPr>
          <w:color w:val="000000"/>
          <w:sz w:val="20"/>
          <w:szCs w:val="20"/>
          <w:lang w:val="en-GB"/>
        </w:rPr>
      </w:pPr>
    </w:p>
    <w:p w14:paraId="50B8B2DC"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 xml:space="preserve">The 2012–2018 cycle was marked by a dual institutional breakdown. On one hand, the disqualification of Ciudad de la Luz (CDL) following the European Commission's May 2012 decision—ratified by the EU General Court in 2014—which found the Sociedad </w:t>
      </w:r>
      <w:proofErr w:type="spellStart"/>
      <w:r w:rsidRPr="003E056B">
        <w:rPr>
          <w:sz w:val="20"/>
          <w:szCs w:val="20"/>
          <w:lang w:val="en-GB"/>
        </w:rPr>
        <w:t>Proyectos</w:t>
      </w:r>
      <w:proofErr w:type="spellEnd"/>
      <w:r w:rsidRPr="003E056B">
        <w:rPr>
          <w:sz w:val="20"/>
          <w:szCs w:val="20"/>
          <w:lang w:val="en-GB"/>
        </w:rPr>
        <w:t xml:space="preserve"> </w:t>
      </w:r>
      <w:proofErr w:type="spellStart"/>
      <w:r w:rsidRPr="003E056B">
        <w:rPr>
          <w:sz w:val="20"/>
          <w:szCs w:val="20"/>
          <w:lang w:val="en-GB"/>
        </w:rPr>
        <w:t>Temáticos</w:t>
      </w:r>
      <w:proofErr w:type="spellEnd"/>
      <w:r w:rsidRPr="003E056B">
        <w:rPr>
          <w:sz w:val="20"/>
          <w:szCs w:val="20"/>
          <w:lang w:val="en-GB"/>
        </w:rPr>
        <w:t xml:space="preserve"> de la Comunidad Valenciana S.A.U. (under the Generalitat Valenciana) guilty of distorting competition among European film studios (European Commission, 2013b, p. 14). On the other hand, the closure of Canal 9 in November 2013 under Law 4/2013 suppressed the Valencian public broadcasting service (Presidencia de la Generalitat, 2013, pp. 34416-34417), leaving the industry without a local demand engine until the launch of the </w:t>
      </w:r>
      <w:proofErr w:type="spellStart"/>
      <w:r w:rsidRPr="003E056B">
        <w:rPr>
          <w:sz w:val="20"/>
          <w:szCs w:val="20"/>
          <w:lang w:val="en-GB"/>
        </w:rPr>
        <w:t>Corporació</w:t>
      </w:r>
      <w:proofErr w:type="spellEnd"/>
      <w:r w:rsidRPr="003E056B">
        <w:rPr>
          <w:sz w:val="20"/>
          <w:szCs w:val="20"/>
          <w:lang w:val="en-GB"/>
        </w:rPr>
        <w:t xml:space="preserve"> Valenciana de Mitjans de </w:t>
      </w:r>
      <w:proofErr w:type="spellStart"/>
      <w:r w:rsidRPr="003E056B">
        <w:rPr>
          <w:sz w:val="20"/>
          <w:szCs w:val="20"/>
          <w:lang w:val="en-GB"/>
        </w:rPr>
        <w:t>Comunicació</w:t>
      </w:r>
      <w:proofErr w:type="spellEnd"/>
      <w:r w:rsidRPr="003E056B">
        <w:rPr>
          <w:sz w:val="20"/>
          <w:szCs w:val="20"/>
          <w:lang w:val="en-GB"/>
        </w:rPr>
        <w:t xml:space="preserve"> (henceforth, CVMC) under the À Punt brand (Presidencia de la Generalitat, 2018, p. 23987).</w:t>
      </w:r>
    </w:p>
    <w:p w14:paraId="58B27098"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50966CC8"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 xml:space="preserve">Prior to 2012, CDL acted de facto as a regional FC, centralizing dialogue with production companies and articulating the municipal FO network; thus, its cessation left the territory without a regional-scale coordinating framework. Since then, sector organization has adopted a provincial and independent approach. In 2017, the Provincial Council of Alicante created the CBFC as a one-stop shop for permits and filming assistance. As of September 2025, it coordinates a network of 21 municipal FOs: </w:t>
      </w:r>
      <w:proofErr w:type="spellStart"/>
      <w:r w:rsidRPr="003E056B">
        <w:rPr>
          <w:sz w:val="20"/>
          <w:szCs w:val="20"/>
          <w:lang w:val="en-GB"/>
        </w:rPr>
        <w:t>Agost</w:t>
      </w:r>
      <w:proofErr w:type="spellEnd"/>
      <w:r w:rsidRPr="003E056B">
        <w:rPr>
          <w:sz w:val="20"/>
          <w:szCs w:val="20"/>
          <w:lang w:val="en-GB"/>
        </w:rPr>
        <w:t xml:space="preserve">, </w:t>
      </w:r>
      <w:proofErr w:type="spellStart"/>
      <w:r w:rsidRPr="003E056B">
        <w:rPr>
          <w:sz w:val="20"/>
          <w:szCs w:val="20"/>
          <w:lang w:val="en-GB"/>
        </w:rPr>
        <w:t>Alcoi</w:t>
      </w:r>
      <w:proofErr w:type="spellEnd"/>
      <w:r w:rsidRPr="003E056B">
        <w:rPr>
          <w:sz w:val="20"/>
          <w:szCs w:val="20"/>
          <w:lang w:val="en-GB"/>
        </w:rPr>
        <w:t xml:space="preserve">, </w:t>
      </w:r>
      <w:proofErr w:type="spellStart"/>
      <w:r w:rsidRPr="003E056B">
        <w:rPr>
          <w:sz w:val="20"/>
          <w:szCs w:val="20"/>
          <w:lang w:val="en-GB"/>
        </w:rPr>
        <w:t>Alfàs</w:t>
      </w:r>
      <w:proofErr w:type="spellEnd"/>
      <w:r w:rsidRPr="003E056B">
        <w:rPr>
          <w:sz w:val="20"/>
          <w:szCs w:val="20"/>
          <w:lang w:val="en-GB"/>
        </w:rPr>
        <w:t xml:space="preserve"> del Pi, Alicante, Altea, Benidorm, Benissa, Calpe, </w:t>
      </w:r>
      <w:proofErr w:type="spellStart"/>
      <w:r w:rsidRPr="003E056B">
        <w:rPr>
          <w:sz w:val="20"/>
          <w:szCs w:val="20"/>
          <w:lang w:val="en-GB"/>
        </w:rPr>
        <w:t>Castalla</w:t>
      </w:r>
      <w:proofErr w:type="spellEnd"/>
      <w:r w:rsidRPr="003E056B">
        <w:rPr>
          <w:sz w:val="20"/>
          <w:szCs w:val="20"/>
          <w:lang w:val="en-GB"/>
        </w:rPr>
        <w:t xml:space="preserve">, </w:t>
      </w:r>
      <w:proofErr w:type="spellStart"/>
      <w:r w:rsidRPr="003E056B">
        <w:rPr>
          <w:sz w:val="20"/>
          <w:szCs w:val="20"/>
          <w:lang w:val="en-GB"/>
        </w:rPr>
        <w:t>Dénia</w:t>
      </w:r>
      <w:proofErr w:type="spellEnd"/>
      <w:r w:rsidRPr="003E056B">
        <w:rPr>
          <w:sz w:val="20"/>
          <w:szCs w:val="20"/>
          <w:lang w:val="en-GB"/>
        </w:rPr>
        <w:t xml:space="preserve">, El Campello, Elche, </w:t>
      </w:r>
      <w:proofErr w:type="spellStart"/>
      <w:r w:rsidRPr="003E056B">
        <w:rPr>
          <w:sz w:val="20"/>
          <w:szCs w:val="20"/>
          <w:lang w:val="en-GB"/>
        </w:rPr>
        <w:t>Finestrat</w:t>
      </w:r>
      <w:proofErr w:type="spellEnd"/>
      <w:r w:rsidRPr="003E056B">
        <w:rPr>
          <w:sz w:val="20"/>
          <w:szCs w:val="20"/>
          <w:lang w:val="en-GB"/>
        </w:rPr>
        <w:t xml:space="preserve">, </w:t>
      </w:r>
      <w:proofErr w:type="spellStart"/>
      <w:r w:rsidRPr="003E056B">
        <w:rPr>
          <w:sz w:val="20"/>
          <w:szCs w:val="20"/>
          <w:lang w:val="en-GB"/>
        </w:rPr>
        <w:t>Guardamar</w:t>
      </w:r>
      <w:proofErr w:type="spellEnd"/>
      <w:r w:rsidRPr="003E056B">
        <w:rPr>
          <w:sz w:val="20"/>
          <w:szCs w:val="20"/>
          <w:lang w:val="en-GB"/>
        </w:rPr>
        <w:t xml:space="preserve"> del Segura, Ibi, </w:t>
      </w:r>
      <w:proofErr w:type="spellStart"/>
      <w:r w:rsidRPr="003E056B">
        <w:rPr>
          <w:sz w:val="20"/>
          <w:szCs w:val="20"/>
          <w:lang w:val="en-GB"/>
        </w:rPr>
        <w:t>Jávea</w:t>
      </w:r>
      <w:proofErr w:type="spellEnd"/>
      <w:r w:rsidRPr="003E056B">
        <w:rPr>
          <w:sz w:val="20"/>
          <w:szCs w:val="20"/>
          <w:lang w:val="en-GB"/>
        </w:rPr>
        <w:t xml:space="preserve">, Pilar de la Horadada, Santa Pola, Torrevieja, </w:t>
      </w:r>
      <w:proofErr w:type="spellStart"/>
      <w:r w:rsidRPr="003E056B">
        <w:rPr>
          <w:sz w:val="20"/>
          <w:szCs w:val="20"/>
          <w:lang w:val="en-GB"/>
        </w:rPr>
        <w:t>Villajoyosa</w:t>
      </w:r>
      <w:proofErr w:type="spellEnd"/>
      <w:r w:rsidRPr="003E056B">
        <w:rPr>
          <w:sz w:val="20"/>
          <w:szCs w:val="20"/>
          <w:lang w:val="en-GB"/>
        </w:rPr>
        <w:t>, and Villena (Costa Blanca Film Commission, 2025).</w:t>
      </w:r>
    </w:p>
    <w:p w14:paraId="35D80E45"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3CA85032"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 xml:space="preserve">Also in 2017, Film València was consolidated, promoted by the Tourism Board and the </w:t>
      </w:r>
      <w:proofErr w:type="spellStart"/>
      <w:r w:rsidRPr="003E056B">
        <w:rPr>
          <w:sz w:val="20"/>
          <w:szCs w:val="20"/>
          <w:lang w:val="en-GB"/>
        </w:rPr>
        <w:t>Institut</w:t>
      </w:r>
      <w:proofErr w:type="spellEnd"/>
      <w:r w:rsidRPr="003E056B">
        <w:rPr>
          <w:sz w:val="20"/>
          <w:szCs w:val="20"/>
          <w:lang w:val="en-GB"/>
        </w:rPr>
        <w:t xml:space="preserve"> </w:t>
      </w:r>
      <w:proofErr w:type="spellStart"/>
      <w:r w:rsidRPr="003E056B">
        <w:rPr>
          <w:sz w:val="20"/>
          <w:szCs w:val="20"/>
          <w:lang w:val="en-GB"/>
        </w:rPr>
        <w:t>Valencià</w:t>
      </w:r>
      <w:proofErr w:type="spellEnd"/>
      <w:r w:rsidRPr="003E056B">
        <w:rPr>
          <w:sz w:val="20"/>
          <w:szCs w:val="20"/>
          <w:lang w:val="en-GB"/>
        </w:rPr>
        <w:t xml:space="preserve"> de Cultura (henceforth, IVC), as a municipal service and coordination structure for the province of Valencia, articulating a network of 27 municipal FOs: </w:t>
      </w:r>
      <w:proofErr w:type="spellStart"/>
      <w:r w:rsidRPr="003E056B">
        <w:rPr>
          <w:sz w:val="20"/>
          <w:szCs w:val="20"/>
          <w:lang w:val="en-GB"/>
        </w:rPr>
        <w:t>Ademuz</w:t>
      </w:r>
      <w:proofErr w:type="spellEnd"/>
      <w:r w:rsidRPr="003E056B">
        <w:rPr>
          <w:sz w:val="20"/>
          <w:szCs w:val="20"/>
          <w:lang w:val="en-GB"/>
        </w:rPr>
        <w:t xml:space="preserve">, Alzira, Ayora, </w:t>
      </w:r>
      <w:proofErr w:type="spellStart"/>
      <w:r w:rsidRPr="003E056B">
        <w:rPr>
          <w:sz w:val="20"/>
          <w:szCs w:val="20"/>
          <w:lang w:val="en-GB"/>
        </w:rPr>
        <w:t>Bétera</w:t>
      </w:r>
      <w:proofErr w:type="spellEnd"/>
      <w:r w:rsidRPr="003E056B">
        <w:rPr>
          <w:sz w:val="20"/>
          <w:szCs w:val="20"/>
          <w:lang w:val="en-GB"/>
        </w:rPr>
        <w:t xml:space="preserve">, </w:t>
      </w:r>
      <w:proofErr w:type="spellStart"/>
      <w:r w:rsidRPr="003E056B">
        <w:rPr>
          <w:sz w:val="20"/>
          <w:szCs w:val="20"/>
          <w:lang w:val="en-GB"/>
        </w:rPr>
        <w:t>Bocairent</w:t>
      </w:r>
      <w:proofErr w:type="spellEnd"/>
      <w:r w:rsidRPr="003E056B">
        <w:rPr>
          <w:sz w:val="20"/>
          <w:szCs w:val="20"/>
          <w:lang w:val="en-GB"/>
        </w:rPr>
        <w:t xml:space="preserve">, </w:t>
      </w:r>
      <w:proofErr w:type="spellStart"/>
      <w:r w:rsidRPr="003E056B">
        <w:rPr>
          <w:sz w:val="20"/>
          <w:szCs w:val="20"/>
          <w:lang w:val="en-GB"/>
        </w:rPr>
        <w:t>Buñol</w:t>
      </w:r>
      <w:proofErr w:type="spellEnd"/>
      <w:r w:rsidRPr="003E056B">
        <w:rPr>
          <w:sz w:val="20"/>
          <w:szCs w:val="20"/>
          <w:lang w:val="en-GB"/>
        </w:rPr>
        <w:t xml:space="preserve">, </w:t>
      </w:r>
      <w:proofErr w:type="spellStart"/>
      <w:r w:rsidRPr="003E056B">
        <w:rPr>
          <w:sz w:val="20"/>
          <w:szCs w:val="20"/>
          <w:lang w:val="en-GB"/>
        </w:rPr>
        <w:t>Carcaixent</w:t>
      </w:r>
      <w:proofErr w:type="spellEnd"/>
      <w:r w:rsidRPr="003E056B">
        <w:rPr>
          <w:sz w:val="20"/>
          <w:szCs w:val="20"/>
          <w:lang w:val="en-GB"/>
        </w:rPr>
        <w:t xml:space="preserve">, </w:t>
      </w:r>
      <w:proofErr w:type="spellStart"/>
      <w:r w:rsidRPr="003E056B">
        <w:rPr>
          <w:sz w:val="20"/>
          <w:szCs w:val="20"/>
          <w:lang w:val="en-GB"/>
        </w:rPr>
        <w:t>Catarroja</w:t>
      </w:r>
      <w:proofErr w:type="spellEnd"/>
      <w:r w:rsidRPr="003E056B">
        <w:rPr>
          <w:sz w:val="20"/>
          <w:szCs w:val="20"/>
          <w:lang w:val="en-GB"/>
        </w:rPr>
        <w:t xml:space="preserve">, </w:t>
      </w:r>
      <w:proofErr w:type="spellStart"/>
      <w:r w:rsidRPr="003E056B">
        <w:rPr>
          <w:sz w:val="20"/>
          <w:szCs w:val="20"/>
          <w:lang w:val="en-GB"/>
        </w:rPr>
        <w:t>Cheste</w:t>
      </w:r>
      <w:proofErr w:type="spellEnd"/>
      <w:r w:rsidRPr="003E056B">
        <w:rPr>
          <w:sz w:val="20"/>
          <w:szCs w:val="20"/>
          <w:lang w:val="en-GB"/>
        </w:rPr>
        <w:t xml:space="preserve">, </w:t>
      </w:r>
      <w:proofErr w:type="spellStart"/>
      <w:r w:rsidRPr="003E056B">
        <w:rPr>
          <w:sz w:val="20"/>
          <w:szCs w:val="20"/>
          <w:lang w:val="en-GB"/>
        </w:rPr>
        <w:t>Cullera</w:t>
      </w:r>
      <w:proofErr w:type="spellEnd"/>
      <w:r w:rsidRPr="003E056B">
        <w:rPr>
          <w:sz w:val="20"/>
          <w:szCs w:val="20"/>
          <w:lang w:val="en-GB"/>
        </w:rPr>
        <w:t xml:space="preserve">, El Puig, Gandía, </w:t>
      </w:r>
      <w:proofErr w:type="spellStart"/>
      <w:r w:rsidRPr="003E056B">
        <w:rPr>
          <w:sz w:val="20"/>
          <w:szCs w:val="20"/>
          <w:lang w:val="en-GB"/>
        </w:rPr>
        <w:t>Gavarda</w:t>
      </w:r>
      <w:proofErr w:type="spellEnd"/>
      <w:r w:rsidRPr="003E056B">
        <w:rPr>
          <w:sz w:val="20"/>
          <w:szCs w:val="20"/>
          <w:lang w:val="en-GB"/>
        </w:rPr>
        <w:t xml:space="preserve">, Hoya de </w:t>
      </w:r>
      <w:proofErr w:type="spellStart"/>
      <w:r w:rsidRPr="003E056B">
        <w:rPr>
          <w:sz w:val="20"/>
          <w:szCs w:val="20"/>
          <w:lang w:val="en-GB"/>
        </w:rPr>
        <w:t>Buñol</w:t>
      </w:r>
      <w:proofErr w:type="spellEnd"/>
      <w:r w:rsidRPr="003E056B">
        <w:rPr>
          <w:sz w:val="20"/>
          <w:szCs w:val="20"/>
          <w:lang w:val="en-GB"/>
        </w:rPr>
        <w:t xml:space="preserve">-Chiva, </w:t>
      </w:r>
      <w:proofErr w:type="spellStart"/>
      <w:r w:rsidRPr="003E056B">
        <w:rPr>
          <w:sz w:val="20"/>
          <w:szCs w:val="20"/>
          <w:lang w:val="en-GB"/>
        </w:rPr>
        <w:t>Llíria</w:t>
      </w:r>
      <w:proofErr w:type="spellEnd"/>
      <w:r w:rsidRPr="003E056B">
        <w:rPr>
          <w:sz w:val="20"/>
          <w:szCs w:val="20"/>
          <w:lang w:val="en-GB"/>
        </w:rPr>
        <w:t xml:space="preserve">, </w:t>
      </w:r>
      <w:proofErr w:type="spellStart"/>
      <w:r w:rsidRPr="003E056B">
        <w:rPr>
          <w:sz w:val="20"/>
          <w:szCs w:val="20"/>
          <w:lang w:val="en-GB"/>
        </w:rPr>
        <w:t>Llutxent</w:t>
      </w:r>
      <w:proofErr w:type="spellEnd"/>
      <w:r w:rsidRPr="003E056B">
        <w:rPr>
          <w:sz w:val="20"/>
          <w:szCs w:val="20"/>
          <w:lang w:val="en-GB"/>
        </w:rPr>
        <w:t xml:space="preserve">, Manises, Oliva, Paterna, Requena, </w:t>
      </w:r>
      <w:proofErr w:type="spellStart"/>
      <w:r w:rsidRPr="003E056B">
        <w:rPr>
          <w:sz w:val="20"/>
          <w:szCs w:val="20"/>
          <w:lang w:val="en-GB"/>
        </w:rPr>
        <w:t>Ribarroja</w:t>
      </w:r>
      <w:proofErr w:type="spellEnd"/>
      <w:r w:rsidRPr="003E056B">
        <w:rPr>
          <w:sz w:val="20"/>
          <w:szCs w:val="20"/>
          <w:lang w:val="en-GB"/>
        </w:rPr>
        <w:t xml:space="preserve"> del Turia, Ribera de </w:t>
      </w:r>
      <w:proofErr w:type="spellStart"/>
      <w:r w:rsidRPr="003E056B">
        <w:rPr>
          <w:sz w:val="20"/>
          <w:szCs w:val="20"/>
          <w:lang w:val="en-GB"/>
        </w:rPr>
        <w:t>Xúquer</w:t>
      </w:r>
      <w:proofErr w:type="spellEnd"/>
      <w:r w:rsidRPr="003E056B">
        <w:rPr>
          <w:sz w:val="20"/>
          <w:szCs w:val="20"/>
          <w:lang w:val="en-GB"/>
        </w:rPr>
        <w:t xml:space="preserve">, </w:t>
      </w:r>
      <w:proofErr w:type="spellStart"/>
      <w:r w:rsidRPr="003E056B">
        <w:rPr>
          <w:sz w:val="20"/>
          <w:szCs w:val="20"/>
          <w:lang w:val="en-GB"/>
        </w:rPr>
        <w:t>Sagunt</w:t>
      </w:r>
      <w:proofErr w:type="spellEnd"/>
      <w:r w:rsidRPr="003E056B">
        <w:rPr>
          <w:sz w:val="20"/>
          <w:szCs w:val="20"/>
          <w:lang w:val="en-GB"/>
        </w:rPr>
        <w:t xml:space="preserve">-Camp de </w:t>
      </w:r>
      <w:proofErr w:type="spellStart"/>
      <w:r w:rsidRPr="003E056B">
        <w:rPr>
          <w:sz w:val="20"/>
          <w:szCs w:val="20"/>
          <w:lang w:val="en-GB"/>
        </w:rPr>
        <w:t>Morvedre</w:t>
      </w:r>
      <w:proofErr w:type="spellEnd"/>
      <w:r w:rsidRPr="003E056B">
        <w:rPr>
          <w:sz w:val="20"/>
          <w:szCs w:val="20"/>
          <w:lang w:val="en-GB"/>
        </w:rPr>
        <w:t xml:space="preserve">, </w:t>
      </w:r>
      <w:proofErr w:type="spellStart"/>
      <w:r w:rsidRPr="003E056B">
        <w:rPr>
          <w:sz w:val="20"/>
          <w:szCs w:val="20"/>
          <w:lang w:val="en-GB"/>
        </w:rPr>
        <w:t>Sueca</w:t>
      </w:r>
      <w:proofErr w:type="spellEnd"/>
      <w:r w:rsidRPr="003E056B">
        <w:rPr>
          <w:sz w:val="20"/>
          <w:szCs w:val="20"/>
          <w:lang w:val="en-GB"/>
        </w:rPr>
        <w:t xml:space="preserve">, </w:t>
      </w:r>
      <w:proofErr w:type="spellStart"/>
      <w:r w:rsidRPr="003E056B">
        <w:rPr>
          <w:sz w:val="20"/>
          <w:szCs w:val="20"/>
          <w:lang w:val="en-GB"/>
        </w:rPr>
        <w:t>Utiel</w:t>
      </w:r>
      <w:proofErr w:type="spellEnd"/>
      <w:r w:rsidRPr="003E056B">
        <w:rPr>
          <w:sz w:val="20"/>
          <w:szCs w:val="20"/>
          <w:lang w:val="en-GB"/>
        </w:rPr>
        <w:t xml:space="preserve">, Valencia, and </w:t>
      </w:r>
      <w:proofErr w:type="spellStart"/>
      <w:r w:rsidRPr="003E056B">
        <w:rPr>
          <w:sz w:val="20"/>
          <w:szCs w:val="20"/>
          <w:lang w:val="en-GB"/>
        </w:rPr>
        <w:t>Xàtiva</w:t>
      </w:r>
      <w:proofErr w:type="spellEnd"/>
      <w:r w:rsidRPr="003E056B">
        <w:rPr>
          <w:sz w:val="20"/>
          <w:szCs w:val="20"/>
          <w:lang w:val="en-GB"/>
        </w:rPr>
        <w:t xml:space="preserve"> (Film València, 2025). However, </w:t>
      </w:r>
      <w:proofErr w:type="gramStart"/>
      <w:r w:rsidRPr="003E056B">
        <w:rPr>
          <w:sz w:val="20"/>
          <w:szCs w:val="20"/>
          <w:lang w:val="en-GB"/>
        </w:rPr>
        <w:t>the majority of</w:t>
      </w:r>
      <w:proofErr w:type="gramEnd"/>
      <w:r w:rsidRPr="003E056B">
        <w:rPr>
          <w:sz w:val="20"/>
          <w:szCs w:val="20"/>
          <w:lang w:val="en-GB"/>
        </w:rPr>
        <w:t xml:space="preserve"> these towns do not operate as effective FOs because they lack specific websites or identifiable procedures, limiting their operational utility.</w:t>
      </w:r>
    </w:p>
    <w:p w14:paraId="201973EB"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0B80CB7A"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 xml:space="preserve">Filming activity in the province of Castellón is significantly lower than in Alicante and Valencia. The territory only possesses one recognized public FO in </w:t>
      </w:r>
      <w:proofErr w:type="spellStart"/>
      <w:r w:rsidRPr="003E056B">
        <w:rPr>
          <w:sz w:val="20"/>
          <w:szCs w:val="20"/>
          <w:lang w:val="en-GB"/>
        </w:rPr>
        <w:t>Peñíscola</w:t>
      </w:r>
      <w:proofErr w:type="spellEnd"/>
      <w:r w:rsidRPr="003E056B">
        <w:rPr>
          <w:sz w:val="20"/>
          <w:szCs w:val="20"/>
          <w:lang w:val="en-GB"/>
        </w:rPr>
        <w:t>, integrated into the Tourism Department's portal, and a private location services platform, Castellón Film, created in 2005 as a private initiative lacking institutional backing from city councils or tourism boards (</w:t>
      </w:r>
      <w:proofErr w:type="spellStart"/>
      <w:r w:rsidRPr="003E056B">
        <w:rPr>
          <w:sz w:val="20"/>
          <w:szCs w:val="20"/>
          <w:lang w:val="en-GB"/>
        </w:rPr>
        <w:t>Peñíscola</w:t>
      </w:r>
      <w:proofErr w:type="spellEnd"/>
      <w:r w:rsidRPr="003E056B">
        <w:rPr>
          <w:sz w:val="20"/>
          <w:szCs w:val="20"/>
          <w:lang w:val="en-GB"/>
        </w:rPr>
        <w:t xml:space="preserve"> Turismo, 2025; Castellón Film, 2025).</w:t>
      </w:r>
    </w:p>
    <w:p w14:paraId="670AB746"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2125DBDD"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 xml:space="preserve">The lack of regional coordination prompted the launch of the VRF in September 2019, initially conceived as a location bank and common access point for stakeholders. In its early stage, it prioritized promotion and the </w:t>
      </w:r>
      <w:proofErr w:type="spellStart"/>
      <w:r w:rsidRPr="003E056B">
        <w:rPr>
          <w:sz w:val="20"/>
          <w:szCs w:val="20"/>
          <w:lang w:val="en-GB"/>
        </w:rPr>
        <w:t>cataloging</w:t>
      </w:r>
      <w:proofErr w:type="spellEnd"/>
      <w:r w:rsidRPr="003E056B">
        <w:rPr>
          <w:sz w:val="20"/>
          <w:szCs w:val="20"/>
          <w:lang w:val="en-GB"/>
        </w:rPr>
        <w:t xml:space="preserve"> of filming spaces (currently holding 94 entries) over the development of regional activity metrics or the procedural standardization of the FO network (Valencia Region Film, 2025). Furthermore, while the Generalitat announced a future </w:t>
      </w:r>
      <w:proofErr w:type="spellStart"/>
      <w:r w:rsidRPr="003E056B">
        <w:rPr>
          <w:sz w:val="20"/>
          <w:szCs w:val="20"/>
          <w:lang w:val="en-GB"/>
        </w:rPr>
        <w:t>Comunitat</w:t>
      </w:r>
      <w:proofErr w:type="spellEnd"/>
      <w:r w:rsidRPr="003E056B">
        <w:rPr>
          <w:sz w:val="20"/>
          <w:szCs w:val="20"/>
          <w:lang w:val="en-GB"/>
        </w:rPr>
        <w:t xml:space="preserve"> Valenciana Film Commission at FITUR 2023 (Castellón Plaza, 2023), as of September 2025, its service charter and regional integration/measurement scheme have not been published, leaving centralization limited.</w:t>
      </w:r>
    </w:p>
    <w:p w14:paraId="4470622F"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2673880E"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 xml:space="preserve">The lifting of the European sanction and subsequent reopening of CDL in July 2022 introduced a change in scale: the complex, now managed by the </w:t>
      </w:r>
      <w:proofErr w:type="spellStart"/>
      <w:r w:rsidRPr="003E056B">
        <w:rPr>
          <w:sz w:val="20"/>
          <w:szCs w:val="20"/>
          <w:lang w:val="en-GB"/>
        </w:rPr>
        <w:t>Societat</w:t>
      </w:r>
      <w:proofErr w:type="spellEnd"/>
      <w:r w:rsidRPr="003E056B">
        <w:rPr>
          <w:sz w:val="20"/>
          <w:szCs w:val="20"/>
          <w:lang w:val="en-GB"/>
        </w:rPr>
        <w:t xml:space="preserve"> de </w:t>
      </w:r>
      <w:proofErr w:type="spellStart"/>
      <w:r w:rsidRPr="003E056B">
        <w:rPr>
          <w:sz w:val="20"/>
          <w:szCs w:val="20"/>
          <w:lang w:val="en-GB"/>
        </w:rPr>
        <w:t>Proyectos</w:t>
      </w:r>
      <w:proofErr w:type="spellEnd"/>
      <w:r w:rsidRPr="003E056B">
        <w:rPr>
          <w:sz w:val="20"/>
          <w:szCs w:val="20"/>
          <w:lang w:val="en-GB"/>
        </w:rPr>
        <w:t xml:space="preserve"> per a la </w:t>
      </w:r>
      <w:proofErr w:type="spellStart"/>
      <w:r w:rsidRPr="003E056B">
        <w:rPr>
          <w:sz w:val="20"/>
          <w:szCs w:val="20"/>
          <w:lang w:val="en-GB"/>
        </w:rPr>
        <w:t>Transformació</w:t>
      </w:r>
      <w:proofErr w:type="spellEnd"/>
      <w:r w:rsidRPr="003E056B">
        <w:rPr>
          <w:sz w:val="20"/>
          <w:szCs w:val="20"/>
          <w:lang w:val="en-GB"/>
        </w:rPr>
        <w:t xml:space="preserve"> Digital de la Generalitat (henceforth, SPTD), regained its vocation as a multi-purpose studio and its role as a flagship infrastructure for the Valencian audiovisual ecosystem (Burgos, 2022). The 2024 official balance reports 14 productions and over 60 million euros in economic impact, confirming the reactivation of the pipeline around the Alicante hub (Presidencia de la Generalitat, 2024). Today, three vectors coexist: the hard infrastructure and services of CDL/SPTD; the regional FC being </w:t>
      </w:r>
      <w:r w:rsidRPr="003E056B">
        <w:rPr>
          <w:sz w:val="20"/>
          <w:szCs w:val="20"/>
          <w:lang w:val="en-GB"/>
        </w:rPr>
        <w:lastRenderedPageBreak/>
        <w:t>deployed by the Generalitat; and the VRF platform, the provincial CBFC and Film València, and the municipal FOs that maintain territorial capillarity.</w:t>
      </w:r>
    </w:p>
    <w:p w14:paraId="393758E7"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1B5A6B44"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Finally, the Valencian Community lacks its own regional fiscal framework analogous to those in the Canary Islands or Navarre. Municipal action has alternatively focused on implementing facilitation measures and filming fee exemptions. For instance, the Valencia City Council announced in November 2015 the elimination of public space occupation fees for productions promoting the city's image, while maintaining fees for strictly commercial or advertising shoots, except in specified cases (Levante EMV, 2015). This criterion is further detailed in the regulatory Tax Ordinance (Finance Department of the Valencia City Council, 2021, p. 7). Additionally, the Valencia Film Office has made progress in its one-stop shop, the distribution and evaluation of impact forms, and the development of protocols.</w:t>
      </w:r>
    </w:p>
    <w:p w14:paraId="76D1BEE8"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6795B4C1" w14:textId="77777777" w:rsidR="00836639" w:rsidRPr="003E056B" w:rsidRDefault="00836639">
      <w:pPr>
        <w:widowControl/>
        <w:pBdr>
          <w:top w:val="nil"/>
          <w:left w:val="nil"/>
          <w:bottom w:val="nil"/>
          <w:right w:val="nil"/>
          <w:between w:val="nil"/>
        </w:pBdr>
        <w:spacing w:after="80"/>
        <w:ind w:right="370"/>
        <w:jc w:val="both"/>
        <w:rPr>
          <w:color w:val="000000"/>
          <w:lang w:val="en-GB"/>
        </w:rPr>
      </w:pPr>
    </w:p>
    <w:p w14:paraId="75442E4C" w14:textId="77777777" w:rsidR="00836639" w:rsidRDefault="00000000">
      <w:pPr>
        <w:pStyle w:val="Ttulo1"/>
        <w:widowControl/>
        <w:numPr>
          <w:ilvl w:val="0"/>
          <w:numId w:val="1"/>
        </w:numPr>
        <w:spacing w:after="80"/>
        <w:rPr>
          <w:rFonts w:ascii="Garamond" w:eastAsia="Garamond" w:hAnsi="Garamond" w:cs="Garamond"/>
          <w:b/>
          <w:bCs/>
          <w:color w:val="98361E"/>
        </w:rPr>
      </w:pPr>
      <w:proofErr w:type="spellStart"/>
      <w:r>
        <w:rPr>
          <w:rFonts w:ascii="Garamond" w:eastAsia="Garamond" w:hAnsi="Garamond" w:cs="Garamond"/>
          <w:b/>
          <w:bCs/>
          <w:color w:val="98361E"/>
        </w:rPr>
        <w:t>Discussion</w:t>
      </w:r>
      <w:proofErr w:type="spellEnd"/>
      <w:r>
        <w:rPr>
          <w:rFonts w:ascii="Garamond" w:eastAsia="Garamond" w:hAnsi="Garamond" w:cs="Garamond"/>
          <w:b/>
          <w:bCs/>
          <w:color w:val="98361E"/>
        </w:rPr>
        <w:t xml:space="preserve"> and </w:t>
      </w:r>
      <w:proofErr w:type="spellStart"/>
      <w:r>
        <w:rPr>
          <w:rFonts w:ascii="Garamond" w:eastAsia="Garamond" w:hAnsi="Garamond" w:cs="Garamond"/>
          <w:b/>
          <w:bCs/>
          <w:color w:val="98361E"/>
        </w:rPr>
        <w:t>Conclusions</w:t>
      </w:r>
      <w:proofErr w:type="spellEnd"/>
    </w:p>
    <w:p w14:paraId="53B0FFD0" w14:textId="77777777" w:rsidR="00836639" w:rsidRDefault="00836639">
      <w:pPr>
        <w:ind w:left="786"/>
      </w:pPr>
    </w:p>
    <w:p w14:paraId="48529F1C"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The available evidence suggests that the performance of both ecosystems is explained by three components: governance; financial capacity (promotion and co-investment) and operational capacity (soft and hard infrastructure); and measurement. Andalusia presents a stable integration of these elements: the AFC acts as a regional umbrella and publishes activity metrics; the AAIICC regularly opens development and production aid calls; the RTVA operates with public participation procedures; and the Network of Film Cities applies standardized documentation and processes—all of which are consistent with a sustained portfolio of film shoots. The Valencian Community, for its part, has undergone an institutional interruption followed by a decentralized reconstruction. Consequently, the primary gap is not one of provision, but of integration, standardization, and evaluation.</w:t>
      </w:r>
    </w:p>
    <w:p w14:paraId="24AED921"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62CC864D"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 xml:space="preserve">In this context, it is worth asking what lessons Andalusia offers and what recommendations would allow the Valencian Community to improve its management and expand its portfolio of audiovisual projects. A priority is to consolidate and increase the visibility of the </w:t>
      </w:r>
      <w:proofErr w:type="spellStart"/>
      <w:r w:rsidRPr="003E056B">
        <w:rPr>
          <w:sz w:val="20"/>
          <w:szCs w:val="20"/>
          <w:lang w:val="en-GB"/>
        </w:rPr>
        <w:t>Comunitat</w:t>
      </w:r>
      <w:proofErr w:type="spellEnd"/>
      <w:r w:rsidRPr="003E056B">
        <w:rPr>
          <w:sz w:val="20"/>
          <w:szCs w:val="20"/>
          <w:lang w:val="en-GB"/>
        </w:rPr>
        <w:t xml:space="preserve"> Valenciana FC as a single point of reference, reducing the current organizational dispersion (CDL, VRF, etc.) described in the analysis. To achieve this, it should be equipped with its own web portal that explicitly details its mission, functions, organizational chart, and service charter, and maintains an activity record with annual reports. This space must integrate a single regional network of FOs, a location directory, and a regional production guide featuring verified companies and professionals, thereby reinforcing the ecosystem's legibility and increasing predictability and operational efficiency.</w:t>
      </w:r>
    </w:p>
    <w:p w14:paraId="5B492478"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2008EA09"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 xml:space="preserve">Furthermore, the regional FC should strengthen the sector's financial capacity through promotion windows coordinated with the CVMC and the IVC, featuring stable schedules aligned with state incentive deadlines to facilitate access to financing under competitive </w:t>
      </w:r>
      <w:r w:rsidRPr="003E056B">
        <w:rPr>
          <w:sz w:val="20"/>
          <w:szCs w:val="20"/>
          <w:lang w:val="en-GB"/>
        </w:rPr>
        <w:lastRenderedPageBreak/>
        <w:t xml:space="preserve">conditions. In parallel, operational capacity should be raised through an inter-municipal standardization of forms, documentation, exemption criteria, and service level agreements (SLAs) regarding permits, addressing the heterogeneity observed in the current network. The adoption of a model ordinance at the regional level, a single procedure portal, and a common </w:t>
      </w:r>
      <w:proofErr w:type="spellStart"/>
      <w:r w:rsidRPr="003E056B">
        <w:rPr>
          <w:sz w:val="20"/>
          <w:szCs w:val="20"/>
          <w:lang w:val="en-GB"/>
        </w:rPr>
        <w:t>catalog</w:t>
      </w:r>
      <w:proofErr w:type="spellEnd"/>
      <w:r w:rsidRPr="003E056B">
        <w:rPr>
          <w:sz w:val="20"/>
          <w:szCs w:val="20"/>
          <w:lang w:val="en-GB"/>
        </w:rPr>
        <w:t xml:space="preserve"> of fees and refunds would replicate an organizational pattern associated with better results in Andalusia, thus reducing processing times for producers.</w:t>
      </w:r>
    </w:p>
    <w:p w14:paraId="110717F7"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582F1726"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Finally, it is essential to institutionalize a framework for measurement and learning to close the management cycle, addressing the lack of regional metrics noted in the analysis. It is proposed to create, under the regional FC, an Audiovisual Production Observatory with an explicit methodology and annual publication of results. The system must integrate both process KPIs (response and permit times, application approval and filming conversion rates, studio occupancy, SLA compliance, etc.) and outcome KPIs (number and typology of shoots, disaggregated local expenditure, employment by department, participation of Valencian suppliers, etc.), as well as sustainability and diversity indicators. To ensure data traceability, agreements should be established with the FOs, CDL, IVC, and CVMC, guaranteeing a public dashboard that allows for continuous monitoring.</w:t>
      </w:r>
    </w:p>
    <w:p w14:paraId="21980464" w14:textId="77777777" w:rsidR="00836639" w:rsidRPr="003E056B" w:rsidRDefault="00836639">
      <w:pPr>
        <w:widowControl/>
        <w:pBdr>
          <w:top w:val="nil"/>
          <w:left w:val="nil"/>
          <w:bottom w:val="nil"/>
          <w:right w:val="nil"/>
          <w:between w:val="nil"/>
        </w:pBdr>
        <w:spacing w:after="80"/>
        <w:ind w:left="426" w:right="370"/>
        <w:jc w:val="both"/>
        <w:rPr>
          <w:sz w:val="20"/>
          <w:szCs w:val="20"/>
          <w:lang w:val="en-GB"/>
        </w:rPr>
      </w:pPr>
    </w:p>
    <w:p w14:paraId="5FED4645" w14:textId="77777777" w:rsidR="00836639" w:rsidRPr="003E056B" w:rsidRDefault="00000000">
      <w:pPr>
        <w:widowControl/>
        <w:pBdr>
          <w:top w:val="nil"/>
          <w:left w:val="nil"/>
          <w:bottom w:val="nil"/>
          <w:right w:val="nil"/>
          <w:between w:val="nil"/>
        </w:pBdr>
        <w:spacing w:after="80"/>
        <w:ind w:left="426" w:right="370"/>
        <w:jc w:val="both"/>
        <w:rPr>
          <w:b/>
          <w:bCs/>
          <w:color w:val="98361E"/>
          <w:lang w:val="en-GB"/>
        </w:rPr>
      </w:pPr>
      <w:r w:rsidRPr="003E056B">
        <w:rPr>
          <w:sz w:val="20"/>
          <w:szCs w:val="20"/>
          <w:lang w:val="en-GB"/>
        </w:rPr>
        <w:t>In conclusion, the Valencian Community has faced an institutional reconfiguration process over the last decade that has allowed it to recover its management agents and partially reorder its relationship with the industry. These advances are significant, but there remains room for improvement to turn this heritage into a sustained competitive advantage: consolidating a single and visible regional umbrella, coordinating promotion windows with stable schedules, and standardizing inter-municipal procedures to reduce friction. All of this should be supported by a measurement framework and an observatory to provide feedback for decision-making. In this way, the territory's hard and soft infrastructure will be strategically leveraged, public policy will be aligned with the effective demand of OTT platforms, and the project portfolio and sector impact will be strengthened.</w:t>
      </w:r>
    </w:p>
    <w:p w14:paraId="2CADAC05" w14:textId="77777777" w:rsidR="00836639" w:rsidRPr="003E056B" w:rsidRDefault="00836639">
      <w:pPr>
        <w:rPr>
          <w:lang w:val="en-GB"/>
        </w:rPr>
      </w:pPr>
    </w:p>
    <w:p w14:paraId="1DAD0553" w14:textId="77777777" w:rsidR="00836639" w:rsidRDefault="00000000">
      <w:pPr>
        <w:pStyle w:val="Ttulo1"/>
        <w:widowControl/>
        <w:numPr>
          <w:ilvl w:val="0"/>
          <w:numId w:val="1"/>
        </w:numPr>
        <w:spacing w:after="80"/>
        <w:rPr>
          <w:rFonts w:ascii="Garamond" w:eastAsia="Garamond" w:hAnsi="Garamond" w:cs="Garamond"/>
          <w:b/>
          <w:bCs/>
          <w:color w:val="98361E"/>
        </w:rPr>
      </w:pPr>
      <w:proofErr w:type="spellStart"/>
      <w:r>
        <w:rPr>
          <w:rFonts w:ascii="Garamond" w:eastAsia="Garamond" w:hAnsi="Garamond" w:cs="Garamond"/>
          <w:b/>
          <w:bCs/>
          <w:color w:val="98361E"/>
        </w:rPr>
        <w:t>References</w:t>
      </w:r>
      <w:proofErr w:type="spellEnd"/>
    </w:p>
    <w:p w14:paraId="11B1FBE6" w14:textId="77777777" w:rsidR="00836639" w:rsidRDefault="00836639">
      <w:pPr>
        <w:widowControl/>
        <w:pBdr>
          <w:top w:val="nil"/>
          <w:left w:val="nil"/>
          <w:bottom w:val="nil"/>
          <w:right w:val="nil"/>
          <w:between w:val="nil"/>
        </w:pBdr>
        <w:spacing w:after="80"/>
        <w:ind w:right="370"/>
        <w:jc w:val="both"/>
        <w:rPr>
          <w:color w:val="231F20"/>
          <w:sz w:val="20"/>
          <w:szCs w:val="20"/>
        </w:rPr>
      </w:pPr>
    </w:p>
    <w:p w14:paraId="7419699D" w14:textId="77777777" w:rsidR="00836639" w:rsidRPr="003E056B" w:rsidRDefault="00000000">
      <w:pPr>
        <w:widowControl/>
        <w:pBdr>
          <w:top w:val="nil"/>
          <w:left w:val="nil"/>
          <w:bottom w:val="nil"/>
          <w:right w:val="nil"/>
          <w:between w:val="nil"/>
        </w:pBdr>
        <w:spacing w:after="80"/>
        <w:ind w:left="426" w:right="370"/>
        <w:jc w:val="both"/>
        <w:rPr>
          <w:color w:val="231F20"/>
          <w:sz w:val="20"/>
          <w:szCs w:val="20"/>
          <w:lang w:val="pt-BR"/>
        </w:rPr>
      </w:pPr>
      <w:r>
        <w:rPr>
          <w:color w:val="231F20"/>
          <w:sz w:val="20"/>
          <w:szCs w:val="20"/>
        </w:rPr>
        <w:t xml:space="preserve">Agencia Andaluza de Instituciones Culturales. (2025). </w:t>
      </w:r>
      <w:r>
        <w:rPr>
          <w:i/>
          <w:iCs/>
          <w:color w:val="231F20"/>
          <w:sz w:val="20"/>
          <w:szCs w:val="20"/>
        </w:rPr>
        <w:t>Producción de proyectos de largometrajes, de documentales y de otras obras audiovisuales en Andalucía</w:t>
      </w:r>
      <w:r>
        <w:rPr>
          <w:color w:val="231F20"/>
          <w:sz w:val="20"/>
          <w:szCs w:val="20"/>
        </w:rPr>
        <w:t xml:space="preserve">. </w:t>
      </w:r>
      <w:r w:rsidRPr="003E056B">
        <w:rPr>
          <w:color w:val="231F20"/>
          <w:sz w:val="20"/>
          <w:szCs w:val="20"/>
          <w:lang w:val="pt-BR"/>
        </w:rPr>
        <w:t xml:space="preserve">Junta de </w:t>
      </w:r>
      <w:proofErr w:type="spellStart"/>
      <w:r w:rsidRPr="003E056B">
        <w:rPr>
          <w:color w:val="231F20"/>
          <w:sz w:val="20"/>
          <w:szCs w:val="20"/>
          <w:lang w:val="pt-BR"/>
        </w:rPr>
        <w:t>Andalucía</w:t>
      </w:r>
      <w:proofErr w:type="spellEnd"/>
      <w:r w:rsidRPr="003E056B">
        <w:rPr>
          <w:color w:val="231F20"/>
          <w:sz w:val="20"/>
          <w:szCs w:val="20"/>
          <w:lang w:val="pt-BR"/>
        </w:rPr>
        <w:t xml:space="preserve">. </w:t>
      </w:r>
      <w:hyperlink r:id="rId18" w:anchor="toc-bases-reguladoras">
        <w:r w:rsidRPr="003E056B">
          <w:rPr>
            <w:color w:val="0000FF"/>
            <w:sz w:val="20"/>
            <w:szCs w:val="20"/>
            <w:u w:val="single"/>
            <w:lang w:val="pt-BR"/>
          </w:rPr>
          <w:t>https://www.juntadeandalucia.es/organismos/aaic/areas/ayudas-sector/produccion-audiovisual.html#toc-bases-reguladoras</w:t>
        </w:r>
      </w:hyperlink>
      <w:r w:rsidRPr="003E056B">
        <w:rPr>
          <w:color w:val="231F20"/>
          <w:sz w:val="20"/>
          <w:szCs w:val="20"/>
          <w:lang w:val="pt-BR"/>
        </w:rPr>
        <w:t xml:space="preserve"> </w:t>
      </w:r>
    </w:p>
    <w:p w14:paraId="0DF59BAF" w14:textId="77777777" w:rsidR="00836639" w:rsidRPr="003E056B" w:rsidRDefault="00000000">
      <w:pPr>
        <w:widowControl/>
        <w:pBdr>
          <w:top w:val="nil"/>
          <w:left w:val="nil"/>
          <w:bottom w:val="nil"/>
          <w:right w:val="nil"/>
          <w:between w:val="nil"/>
        </w:pBdr>
        <w:spacing w:after="80"/>
        <w:ind w:left="426" w:right="370"/>
        <w:jc w:val="both"/>
        <w:rPr>
          <w:color w:val="231F20"/>
          <w:sz w:val="20"/>
          <w:szCs w:val="20"/>
          <w:lang w:val="en-GB"/>
        </w:rPr>
      </w:pPr>
      <w:r w:rsidRPr="003E056B">
        <w:rPr>
          <w:color w:val="231F20"/>
          <w:sz w:val="20"/>
          <w:szCs w:val="20"/>
          <w:lang w:val="en-GB"/>
        </w:rPr>
        <w:t xml:space="preserve">Andalucía Film Commission. (2024). </w:t>
      </w:r>
      <w:r w:rsidRPr="003E056B">
        <w:rPr>
          <w:i/>
          <w:iCs/>
          <w:color w:val="231F20"/>
          <w:sz w:val="20"/>
          <w:szCs w:val="20"/>
          <w:lang w:val="en-GB"/>
        </w:rPr>
        <w:t xml:space="preserve">Memoria de </w:t>
      </w:r>
      <w:proofErr w:type="spellStart"/>
      <w:r w:rsidRPr="003E056B">
        <w:rPr>
          <w:i/>
          <w:iCs/>
          <w:color w:val="231F20"/>
          <w:sz w:val="20"/>
          <w:szCs w:val="20"/>
          <w:lang w:val="en-GB"/>
        </w:rPr>
        <w:t>actividad</w:t>
      </w:r>
      <w:proofErr w:type="spellEnd"/>
      <w:r w:rsidRPr="003E056B">
        <w:rPr>
          <w:i/>
          <w:iCs/>
          <w:color w:val="231F20"/>
          <w:sz w:val="20"/>
          <w:szCs w:val="20"/>
          <w:lang w:val="en-GB"/>
        </w:rPr>
        <w:t xml:space="preserve"> 2023</w:t>
      </w:r>
      <w:r w:rsidRPr="003E056B">
        <w:rPr>
          <w:color w:val="231F20"/>
          <w:sz w:val="20"/>
          <w:szCs w:val="20"/>
          <w:lang w:val="en-GB"/>
        </w:rPr>
        <w:t xml:space="preserve">. </w:t>
      </w:r>
      <w:hyperlink r:id="rId19">
        <w:r w:rsidRPr="003E056B">
          <w:rPr>
            <w:color w:val="0000FF"/>
            <w:sz w:val="20"/>
            <w:szCs w:val="20"/>
            <w:u w:val="single"/>
            <w:lang w:val="en-GB"/>
          </w:rPr>
          <w:t>https://andaluciafilm.com/wp-content/uploads/2024/11/Libro_Memoria_2023_lo-2.pdf</w:t>
        </w:r>
      </w:hyperlink>
      <w:r w:rsidRPr="003E056B">
        <w:rPr>
          <w:color w:val="231F20"/>
          <w:sz w:val="20"/>
          <w:szCs w:val="20"/>
          <w:lang w:val="en-GB"/>
        </w:rPr>
        <w:t xml:space="preserve"> </w:t>
      </w:r>
    </w:p>
    <w:p w14:paraId="22622E91" w14:textId="77777777" w:rsidR="00836639" w:rsidRPr="003E056B" w:rsidRDefault="00000000">
      <w:pPr>
        <w:widowControl/>
        <w:pBdr>
          <w:top w:val="nil"/>
          <w:left w:val="nil"/>
          <w:bottom w:val="nil"/>
          <w:right w:val="nil"/>
          <w:between w:val="nil"/>
        </w:pBdr>
        <w:spacing w:after="80"/>
        <w:ind w:left="426" w:right="370"/>
        <w:jc w:val="both"/>
        <w:rPr>
          <w:color w:val="231F20"/>
          <w:sz w:val="20"/>
          <w:szCs w:val="20"/>
          <w:lang w:val="en-GB"/>
        </w:rPr>
      </w:pPr>
      <w:r w:rsidRPr="003E056B">
        <w:rPr>
          <w:color w:val="231F20"/>
          <w:sz w:val="20"/>
          <w:szCs w:val="20"/>
          <w:lang w:val="en-GB"/>
        </w:rPr>
        <w:t xml:space="preserve">Andalucía Film Commission. </w:t>
      </w:r>
      <w:r>
        <w:rPr>
          <w:color w:val="231F20"/>
          <w:sz w:val="20"/>
          <w:szCs w:val="20"/>
        </w:rPr>
        <w:t xml:space="preserve">(2025a). </w:t>
      </w:r>
      <w:r>
        <w:rPr>
          <w:i/>
          <w:iCs/>
          <w:color w:val="231F20"/>
          <w:sz w:val="20"/>
          <w:szCs w:val="20"/>
        </w:rPr>
        <w:t>Red de Ciudades de Cine</w:t>
      </w:r>
      <w:r>
        <w:rPr>
          <w:color w:val="231F20"/>
          <w:sz w:val="20"/>
          <w:szCs w:val="20"/>
        </w:rPr>
        <w:t xml:space="preserve">. </w:t>
      </w:r>
      <w:hyperlink r:id="rId20">
        <w:r w:rsidRPr="003E056B">
          <w:rPr>
            <w:color w:val="0000FF"/>
            <w:sz w:val="20"/>
            <w:szCs w:val="20"/>
            <w:u w:val="single"/>
            <w:lang w:val="en-GB"/>
          </w:rPr>
          <w:t>https://andaluciafilm.com/red-de-ciudades-de-cine/</w:t>
        </w:r>
      </w:hyperlink>
      <w:r w:rsidRPr="003E056B">
        <w:rPr>
          <w:color w:val="231F20"/>
          <w:sz w:val="20"/>
          <w:szCs w:val="20"/>
          <w:lang w:val="en-GB"/>
        </w:rPr>
        <w:t xml:space="preserve"> </w:t>
      </w:r>
    </w:p>
    <w:p w14:paraId="2BA127AD" w14:textId="77777777" w:rsidR="00836639" w:rsidRPr="003E056B" w:rsidRDefault="00000000">
      <w:pPr>
        <w:widowControl/>
        <w:pBdr>
          <w:top w:val="nil"/>
          <w:left w:val="nil"/>
          <w:bottom w:val="nil"/>
          <w:right w:val="nil"/>
          <w:between w:val="nil"/>
        </w:pBdr>
        <w:spacing w:after="80"/>
        <w:ind w:left="426" w:right="370"/>
        <w:jc w:val="both"/>
        <w:rPr>
          <w:color w:val="231F20"/>
          <w:sz w:val="20"/>
          <w:szCs w:val="20"/>
          <w:lang w:val="en-GB"/>
        </w:rPr>
      </w:pPr>
      <w:r w:rsidRPr="003E056B">
        <w:rPr>
          <w:color w:val="231F20"/>
          <w:sz w:val="20"/>
          <w:szCs w:val="20"/>
          <w:lang w:val="en-GB"/>
        </w:rPr>
        <w:t xml:space="preserve">Andalucía Film Commission. </w:t>
      </w:r>
      <w:r>
        <w:rPr>
          <w:color w:val="231F20"/>
          <w:sz w:val="20"/>
          <w:szCs w:val="20"/>
        </w:rPr>
        <w:t xml:space="preserve">(2025b). </w:t>
      </w:r>
      <w:r>
        <w:rPr>
          <w:i/>
          <w:iCs/>
          <w:color w:val="231F20"/>
          <w:sz w:val="20"/>
          <w:szCs w:val="20"/>
        </w:rPr>
        <w:t>Guía de producción audiovisual</w:t>
      </w:r>
      <w:r>
        <w:rPr>
          <w:color w:val="231F20"/>
          <w:sz w:val="20"/>
          <w:szCs w:val="20"/>
        </w:rPr>
        <w:t xml:space="preserve">. </w:t>
      </w:r>
      <w:hyperlink r:id="rId21">
        <w:r w:rsidRPr="003E056B">
          <w:rPr>
            <w:color w:val="0000FF"/>
            <w:sz w:val="20"/>
            <w:szCs w:val="20"/>
            <w:u w:val="single"/>
            <w:lang w:val="en-GB"/>
          </w:rPr>
          <w:t>https://andaluciafilm.com/guia-de-produccion-audiovisual/</w:t>
        </w:r>
      </w:hyperlink>
      <w:r w:rsidRPr="003E056B">
        <w:rPr>
          <w:color w:val="231F20"/>
          <w:sz w:val="20"/>
          <w:szCs w:val="20"/>
          <w:lang w:val="en-GB"/>
        </w:rPr>
        <w:t xml:space="preserve"> </w:t>
      </w:r>
    </w:p>
    <w:p w14:paraId="607BD7C3" w14:textId="77777777" w:rsidR="00836639" w:rsidRDefault="00000000">
      <w:pPr>
        <w:widowControl/>
        <w:pBdr>
          <w:top w:val="nil"/>
          <w:left w:val="nil"/>
          <w:bottom w:val="nil"/>
          <w:right w:val="nil"/>
          <w:between w:val="nil"/>
        </w:pBdr>
        <w:spacing w:after="80"/>
        <w:ind w:left="426" w:right="370"/>
        <w:jc w:val="both"/>
        <w:rPr>
          <w:color w:val="231F20"/>
          <w:sz w:val="20"/>
          <w:szCs w:val="20"/>
        </w:rPr>
      </w:pPr>
      <w:r w:rsidRPr="003E056B">
        <w:rPr>
          <w:color w:val="231F20"/>
          <w:sz w:val="20"/>
          <w:szCs w:val="20"/>
          <w:lang w:val="en-GB"/>
        </w:rPr>
        <w:lastRenderedPageBreak/>
        <w:t xml:space="preserve">Association of Film Commissioners International. (2024). </w:t>
      </w:r>
      <w:r w:rsidRPr="003E056B">
        <w:rPr>
          <w:i/>
          <w:iCs/>
          <w:color w:val="231F20"/>
          <w:sz w:val="20"/>
          <w:szCs w:val="20"/>
          <w:lang w:val="en-GB"/>
        </w:rPr>
        <w:t>Best Practice: Understanding &amp; establishing a film commission</w:t>
      </w:r>
      <w:r w:rsidRPr="003E056B">
        <w:rPr>
          <w:color w:val="231F20"/>
          <w:sz w:val="20"/>
          <w:szCs w:val="20"/>
          <w:lang w:val="en-GB"/>
        </w:rPr>
        <w:t xml:space="preserve">. </w:t>
      </w:r>
      <w:hyperlink r:id="rId22">
        <w:r>
          <w:rPr>
            <w:color w:val="0000FF"/>
            <w:sz w:val="20"/>
            <w:szCs w:val="20"/>
            <w:u w:val="single"/>
          </w:rPr>
          <w:t>https://afci.org/wp-content/uploads/2024/02/AFCI-Best-Practice-Understanding-Establishing-a-Film-Commission.pdf</w:t>
        </w:r>
      </w:hyperlink>
      <w:r>
        <w:rPr>
          <w:color w:val="231F20"/>
          <w:sz w:val="20"/>
          <w:szCs w:val="20"/>
        </w:rPr>
        <w:t xml:space="preserve"> </w:t>
      </w:r>
    </w:p>
    <w:p w14:paraId="0A112B5C" w14:textId="77777777" w:rsidR="00836639" w:rsidRPr="003E056B" w:rsidRDefault="00000000">
      <w:pPr>
        <w:widowControl/>
        <w:pBdr>
          <w:top w:val="nil"/>
          <w:left w:val="nil"/>
          <w:bottom w:val="nil"/>
          <w:right w:val="nil"/>
          <w:between w:val="nil"/>
        </w:pBdr>
        <w:spacing w:after="80"/>
        <w:ind w:left="426" w:right="370"/>
        <w:jc w:val="both"/>
        <w:rPr>
          <w:color w:val="231F20"/>
          <w:sz w:val="20"/>
          <w:szCs w:val="20"/>
          <w:lang w:val="en-GB"/>
        </w:rPr>
      </w:pPr>
      <w:r w:rsidRPr="003E056B">
        <w:rPr>
          <w:color w:val="231F20"/>
          <w:sz w:val="20"/>
          <w:szCs w:val="20"/>
          <w:lang w:val="en-GB"/>
        </w:rPr>
        <w:t xml:space="preserve">British Film Commission. (2024). </w:t>
      </w:r>
      <w:r w:rsidRPr="003E056B">
        <w:rPr>
          <w:i/>
          <w:iCs/>
          <w:color w:val="231F20"/>
          <w:sz w:val="20"/>
          <w:szCs w:val="20"/>
          <w:lang w:val="en-GB"/>
        </w:rPr>
        <w:t>British Film Commission response to the Culture, Media and Sport Committee inquiry into challenges faced by the British film and high-end television industry</w:t>
      </w:r>
      <w:r w:rsidRPr="003E056B">
        <w:rPr>
          <w:color w:val="231F20"/>
          <w:sz w:val="20"/>
          <w:szCs w:val="20"/>
          <w:lang w:val="en-GB"/>
        </w:rPr>
        <w:t xml:space="preserve">. </w:t>
      </w:r>
      <w:hyperlink r:id="rId23">
        <w:r w:rsidRPr="003E056B">
          <w:rPr>
            <w:color w:val="0000FF"/>
            <w:sz w:val="20"/>
            <w:szCs w:val="20"/>
            <w:u w:val="single"/>
            <w:lang w:val="en-GB"/>
          </w:rPr>
          <w:t>https://committees.parliament.uk/writtenevidence/125657/pdf</w:t>
        </w:r>
      </w:hyperlink>
      <w:r w:rsidRPr="003E056B">
        <w:rPr>
          <w:color w:val="231F20"/>
          <w:sz w:val="20"/>
          <w:szCs w:val="20"/>
          <w:lang w:val="en-GB"/>
        </w:rPr>
        <w:t xml:space="preserve"> </w:t>
      </w:r>
    </w:p>
    <w:p w14:paraId="4FB921E4" w14:textId="77777777" w:rsidR="00836639" w:rsidRDefault="00000000">
      <w:pPr>
        <w:widowControl/>
        <w:pBdr>
          <w:top w:val="nil"/>
          <w:left w:val="nil"/>
          <w:bottom w:val="nil"/>
          <w:right w:val="nil"/>
          <w:between w:val="nil"/>
        </w:pBdr>
        <w:spacing w:after="80"/>
        <w:ind w:left="426" w:right="370"/>
        <w:jc w:val="both"/>
        <w:rPr>
          <w:color w:val="231F20"/>
          <w:sz w:val="20"/>
          <w:szCs w:val="20"/>
        </w:rPr>
      </w:pPr>
      <w:r w:rsidRPr="003E056B">
        <w:rPr>
          <w:color w:val="231F20"/>
          <w:sz w:val="20"/>
          <w:szCs w:val="20"/>
          <w:lang w:val="en-GB"/>
        </w:rPr>
        <w:t xml:space="preserve">British Film Institute. (2025). </w:t>
      </w:r>
      <w:r w:rsidRPr="003E056B">
        <w:rPr>
          <w:i/>
          <w:iCs/>
          <w:color w:val="231F20"/>
          <w:sz w:val="20"/>
          <w:szCs w:val="20"/>
          <w:lang w:val="en-GB"/>
        </w:rPr>
        <w:t>About UK creative industry expenditure credits</w:t>
      </w:r>
      <w:r w:rsidRPr="003E056B">
        <w:rPr>
          <w:color w:val="231F20"/>
          <w:sz w:val="20"/>
          <w:szCs w:val="20"/>
          <w:lang w:val="en-GB"/>
        </w:rPr>
        <w:t xml:space="preserve">. </w:t>
      </w:r>
      <w:hyperlink r:id="rId24">
        <w:r>
          <w:rPr>
            <w:color w:val="0000FF"/>
            <w:sz w:val="20"/>
            <w:szCs w:val="20"/>
            <w:u w:val="single"/>
          </w:rPr>
          <w:t>https://www.bfi.org.uk/apply-british-certification-expenditure-credits/about-uk-creative-industry-expenditure-credits</w:t>
        </w:r>
      </w:hyperlink>
      <w:r>
        <w:rPr>
          <w:color w:val="231F20"/>
          <w:sz w:val="20"/>
          <w:szCs w:val="20"/>
        </w:rPr>
        <w:t xml:space="preserve"> </w:t>
      </w:r>
    </w:p>
    <w:p w14:paraId="0C560DE2" w14:textId="77777777" w:rsidR="00836639" w:rsidRDefault="00000000">
      <w:pPr>
        <w:widowControl/>
        <w:pBdr>
          <w:top w:val="nil"/>
          <w:left w:val="nil"/>
          <w:bottom w:val="nil"/>
          <w:right w:val="nil"/>
          <w:between w:val="nil"/>
        </w:pBdr>
        <w:spacing w:after="80"/>
        <w:ind w:left="426" w:right="370"/>
        <w:jc w:val="both"/>
        <w:rPr>
          <w:color w:val="231F20"/>
          <w:sz w:val="20"/>
          <w:szCs w:val="20"/>
        </w:rPr>
      </w:pPr>
      <w:r>
        <w:rPr>
          <w:color w:val="231F20"/>
          <w:sz w:val="20"/>
          <w:szCs w:val="20"/>
        </w:rPr>
        <w:t xml:space="preserve">Burgos, R. (15 de marzo de 2022). Europa levanta el castigo a la Ciudad de la Luz de Alicante, que volverá a acoger rodajes 10 años después. </w:t>
      </w:r>
      <w:r>
        <w:rPr>
          <w:i/>
          <w:iCs/>
          <w:color w:val="231F20"/>
          <w:sz w:val="20"/>
          <w:szCs w:val="20"/>
        </w:rPr>
        <w:t>El País</w:t>
      </w:r>
      <w:r>
        <w:rPr>
          <w:color w:val="231F20"/>
          <w:sz w:val="20"/>
          <w:szCs w:val="20"/>
        </w:rPr>
        <w:t xml:space="preserve">. </w:t>
      </w:r>
      <w:hyperlink r:id="rId25">
        <w:r>
          <w:rPr>
            <w:color w:val="0000FF"/>
            <w:sz w:val="20"/>
            <w:szCs w:val="20"/>
            <w:u w:val="single"/>
          </w:rPr>
          <w:t>https://elpais.com/espana/comunidad-valenciana/2022-03-15/europa-levanta-el-castigo-a-la-ciudad-de-la-luz-de-alicante-que-volvera-a-acoger-rodajes-10-anos-despues.html</w:t>
        </w:r>
      </w:hyperlink>
      <w:r>
        <w:rPr>
          <w:color w:val="231F20"/>
          <w:sz w:val="20"/>
          <w:szCs w:val="20"/>
        </w:rPr>
        <w:t xml:space="preserve"> </w:t>
      </w:r>
    </w:p>
    <w:p w14:paraId="5C5F59B6" w14:textId="77777777" w:rsidR="00836639" w:rsidRPr="003E056B" w:rsidRDefault="00000000">
      <w:pPr>
        <w:widowControl/>
        <w:pBdr>
          <w:top w:val="nil"/>
          <w:left w:val="nil"/>
          <w:bottom w:val="nil"/>
          <w:right w:val="nil"/>
          <w:between w:val="nil"/>
        </w:pBdr>
        <w:spacing w:after="80"/>
        <w:ind w:left="426" w:right="370"/>
        <w:jc w:val="both"/>
        <w:rPr>
          <w:color w:val="231F20"/>
          <w:sz w:val="20"/>
          <w:szCs w:val="20"/>
          <w:lang w:val="en-GB"/>
        </w:rPr>
      </w:pPr>
      <w:proofErr w:type="spellStart"/>
      <w:r w:rsidRPr="003E056B">
        <w:rPr>
          <w:color w:val="231F20"/>
          <w:sz w:val="20"/>
          <w:szCs w:val="20"/>
          <w:lang w:val="en-GB"/>
        </w:rPr>
        <w:t>Büyüközkan</w:t>
      </w:r>
      <w:proofErr w:type="spellEnd"/>
      <w:r w:rsidRPr="003E056B">
        <w:rPr>
          <w:color w:val="231F20"/>
          <w:sz w:val="20"/>
          <w:szCs w:val="20"/>
          <w:lang w:val="en-GB"/>
        </w:rPr>
        <w:t xml:space="preserve">, G., &amp; Maire, J. L. (1998). Benchmarking process formalization and a case study. </w:t>
      </w:r>
      <w:r w:rsidRPr="003E056B">
        <w:rPr>
          <w:i/>
          <w:iCs/>
          <w:color w:val="231F20"/>
          <w:sz w:val="20"/>
          <w:szCs w:val="20"/>
          <w:lang w:val="en-GB"/>
        </w:rPr>
        <w:t>Benchmarking for Quality Management &amp; Technology, 5</w:t>
      </w:r>
      <w:r w:rsidRPr="003E056B">
        <w:rPr>
          <w:color w:val="231F20"/>
          <w:sz w:val="20"/>
          <w:szCs w:val="20"/>
          <w:lang w:val="en-GB"/>
        </w:rPr>
        <w:t xml:space="preserve">(2), 101-125. </w:t>
      </w:r>
      <w:hyperlink r:id="rId26">
        <w:r w:rsidRPr="003E056B">
          <w:rPr>
            <w:color w:val="0000FF"/>
            <w:sz w:val="20"/>
            <w:szCs w:val="20"/>
            <w:u w:val="single"/>
            <w:lang w:val="en-GB"/>
          </w:rPr>
          <w:t>https://doi.org/10.1108/14635779810212356</w:t>
        </w:r>
      </w:hyperlink>
      <w:r w:rsidRPr="003E056B">
        <w:rPr>
          <w:color w:val="231F20"/>
          <w:sz w:val="20"/>
          <w:szCs w:val="20"/>
          <w:lang w:val="en-GB"/>
        </w:rPr>
        <w:t xml:space="preserve"> </w:t>
      </w:r>
    </w:p>
    <w:p w14:paraId="51018750" w14:textId="77777777" w:rsidR="00836639" w:rsidRPr="003E056B" w:rsidRDefault="00000000">
      <w:pPr>
        <w:widowControl/>
        <w:pBdr>
          <w:top w:val="nil"/>
          <w:left w:val="nil"/>
          <w:bottom w:val="nil"/>
          <w:right w:val="nil"/>
          <w:between w:val="nil"/>
        </w:pBdr>
        <w:spacing w:after="80"/>
        <w:ind w:left="426" w:right="370"/>
        <w:jc w:val="both"/>
        <w:rPr>
          <w:color w:val="231F20"/>
          <w:sz w:val="20"/>
          <w:szCs w:val="20"/>
          <w:lang w:val="en-GB"/>
        </w:rPr>
      </w:pPr>
      <w:r w:rsidRPr="003E056B">
        <w:rPr>
          <w:color w:val="231F20"/>
          <w:sz w:val="20"/>
          <w:szCs w:val="20"/>
          <w:lang w:val="en-GB"/>
        </w:rPr>
        <w:t xml:space="preserve">Castellón Film (2025). </w:t>
      </w:r>
      <w:r w:rsidRPr="003E056B">
        <w:rPr>
          <w:i/>
          <w:iCs/>
          <w:color w:val="231F20"/>
          <w:sz w:val="20"/>
          <w:szCs w:val="20"/>
          <w:lang w:val="en-GB"/>
        </w:rPr>
        <w:t>Castellón Film Location Service</w:t>
      </w:r>
      <w:r w:rsidRPr="003E056B">
        <w:rPr>
          <w:color w:val="231F20"/>
          <w:sz w:val="20"/>
          <w:szCs w:val="20"/>
          <w:lang w:val="en-GB"/>
        </w:rPr>
        <w:t xml:space="preserve">. </w:t>
      </w:r>
      <w:hyperlink r:id="rId27">
        <w:r w:rsidRPr="003E056B">
          <w:rPr>
            <w:color w:val="0000FF"/>
            <w:sz w:val="20"/>
            <w:szCs w:val="20"/>
            <w:u w:val="single"/>
            <w:lang w:val="en-GB"/>
          </w:rPr>
          <w:t>http://www.castellonfilm.com/es/</w:t>
        </w:r>
      </w:hyperlink>
      <w:r w:rsidRPr="003E056B">
        <w:rPr>
          <w:color w:val="231F20"/>
          <w:sz w:val="20"/>
          <w:szCs w:val="20"/>
          <w:lang w:val="en-GB"/>
        </w:rPr>
        <w:t xml:space="preserve"> </w:t>
      </w:r>
    </w:p>
    <w:p w14:paraId="42B0ECFE" w14:textId="77777777" w:rsidR="00836639" w:rsidRDefault="00000000">
      <w:pPr>
        <w:widowControl/>
        <w:pBdr>
          <w:top w:val="nil"/>
          <w:left w:val="nil"/>
          <w:bottom w:val="nil"/>
          <w:right w:val="nil"/>
          <w:between w:val="nil"/>
        </w:pBdr>
        <w:spacing w:after="80"/>
        <w:ind w:left="426" w:right="370"/>
        <w:jc w:val="both"/>
        <w:rPr>
          <w:color w:val="231F20"/>
          <w:sz w:val="20"/>
          <w:szCs w:val="20"/>
        </w:rPr>
      </w:pPr>
      <w:r>
        <w:rPr>
          <w:color w:val="231F20"/>
          <w:sz w:val="20"/>
          <w:szCs w:val="20"/>
        </w:rPr>
        <w:t>Castellón Plaza. (20 de enero de 2023). La '</w:t>
      </w:r>
      <w:proofErr w:type="gramStart"/>
      <w:r>
        <w:rPr>
          <w:color w:val="231F20"/>
          <w:sz w:val="20"/>
          <w:szCs w:val="20"/>
        </w:rPr>
        <w:t>film</w:t>
      </w:r>
      <w:proofErr w:type="gramEnd"/>
      <w:r>
        <w:rPr>
          <w:color w:val="231F20"/>
          <w:sz w:val="20"/>
          <w:szCs w:val="20"/>
        </w:rPr>
        <w:t xml:space="preserve"> </w:t>
      </w:r>
      <w:proofErr w:type="spellStart"/>
      <w:r>
        <w:rPr>
          <w:color w:val="231F20"/>
          <w:sz w:val="20"/>
          <w:szCs w:val="20"/>
        </w:rPr>
        <w:t>commission</w:t>
      </w:r>
      <w:proofErr w:type="spellEnd"/>
      <w:r>
        <w:rPr>
          <w:color w:val="231F20"/>
          <w:sz w:val="20"/>
          <w:szCs w:val="20"/>
        </w:rPr>
        <w:t xml:space="preserve">' valenciana echa a andar. </w:t>
      </w:r>
      <w:r>
        <w:rPr>
          <w:i/>
          <w:iCs/>
          <w:color w:val="231F20"/>
          <w:sz w:val="20"/>
          <w:szCs w:val="20"/>
        </w:rPr>
        <w:t>Castellón Plaza</w:t>
      </w:r>
      <w:r>
        <w:rPr>
          <w:color w:val="231F20"/>
          <w:sz w:val="20"/>
          <w:szCs w:val="20"/>
        </w:rPr>
        <w:t xml:space="preserve">. </w:t>
      </w:r>
      <w:hyperlink r:id="rId28">
        <w:r>
          <w:rPr>
            <w:color w:val="0000FF"/>
            <w:sz w:val="20"/>
            <w:szCs w:val="20"/>
            <w:u w:val="single"/>
          </w:rPr>
          <w:t>https://castellonplaza.com/lafilmcommissionvalencianaechaaandar</w:t>
        </w:r>
      </w:hyperlink>
      <w:r>
        <w:rPr>
          <w:color w:val="231F20"/>
          <w:sz w:val="20"/>
          <w:szCs w:val="20"/>
        </w:rPr>
        <w:t xml:space="preserve"> </w:t>
      </w:r>
    </w:p>
    <w:p w14:paraId="18809974" w14:textId="77777777" w:rsidR="00836639" w:rsidRDefault="00000000">
      <w:pPr>
        <w:widowControl/>
        <w:pBdr>
          <w:top w:val="nil"/>
          <w:left w:val="nil"/>
          <w:bottom w:val="nil"/>
          <w:right w:val="nil"/>
          <w:between w:val="nil"/>
        </w:pBdr>
        <w:spacing w:after="80"/>
        <w:ind w:left="426" w:right="370"/>
        <w:jc w:val="both"/>
        <w:rPr>
          <w:color w:val="231F20"/>
          <w:sz w:val="20"/>
          <w:szCs w:val="20"/>
        </w:rPr>
      </w:pPr>
      <w:r>
        <w:rPr>
          <w:color w:val="231F20"/>
          <w:sz w:val="20"/>
          <w:szCs w:val="20"/>
        </w:rPr>
        <w:t xml:space="preserve">Centre </w:t>
      </w:r>
      <w:proofErr w:type="spellStart"/>
      <w:r>
        <w:rPr>
          <w:color w:val="231F20"/>
          <w:sz w:val="20"/>
          <w:szCs w:val="20"/>
        </w:rPr>
        <w:t>national</w:t>
      </w:r>
      <w:proofErr w:type="spellEnd"/>
      <w:r>
        <w:rPr>
          <w:color w:val="231F20"/>
          <w:sz w:val="20"/>
          <w:szCs w:val="20"/>
        </w:rPr>
        <w:t xml:space="preserve"> du </w:t>
      </w:r>
      <w:proofErr w:type="spellStart"/>
      <w:r>
        <w:rPr>
          <w:color w:val="231F20"/>
          <w:sz w:val="20"/>
          <w:szCs w:val="20"/>
        </w:rPr>
        <w:t>cinéma</w:t>
      </w:r>
      <w:proofErr w:type="spellEnd"/>
      <w:r>
        <w:rPr>
          <w:color w:val="231F20"/>
          <w:sz w:val="20"/>
          <w:szCs w:val="20"/>
        </w:rPr>
        <w:t xml:space="preserve"> et de </w:t>
      </w:r>
      <w:proofErr w:type="spellStart"/>
      <w:r>
        <w:rPr>
          <w:color w:val="231F20"/>
          <w:sz w:val="20"/>
          <w:szCs w:val="20"/>
        </w:rPr>
        <w:t>l’image</w:t>
      </w:r>
      <w:proofErr w:type="spellEnd"/>
      <w:r>
        <w:rPr>
          <w:color w:val="231F20"/>
          <w:sz w:val="20"/>
          <w:szCs w:val="20"/>
        </w:rPr>
        <w:t xml:space="preserve"> </w:t>
      </w:r>
      <w:proofErr w:type="spellStart"/>
      <w:r>
        <w:rPr>
          <w:color w:val="231F20"/>
          <w:sz w:val="20"/>
          <w:szCs w:val="20"/>
        </w:rPr>
        <w:t>animée</w:t>
      </w:r>
      <w:proofErr w:type="spellEnd"/>
      <w:r>
        <w:rPr>
          <w:color w:val="231F20"/>
          <w:sz w:val="20"/>
          <w:szCs w:val="20"/>
        </w:rPr>
        <w:t xml:space="preserve">. (2025). </w:t>
      </w:r>
      <w:r>
        <w:rPr>
          <w:i/>
          <w:iCs/>
          <w:color w:val="231F20"/>
          <w:sz w:val="20"/>
          <w:szCs w:val="20"/>
        </w:rPr>
        <w:t xml:space="preserve">The Tax Rebate </w:t>
      </w:r>
      <w:proofErr w:type="spellStart"/>
      <w:r>
        <w:rPr>
          <w:i/>
          <w:iCs/>
          <w:color w:val="231F20"/>
          <w:sz w:val="20"/>
          <w:szCs w:val="20"/>
        </w:rPr>
        <w:t>for</w:t>
      </w:r>
      <w:proofErr w:type="spellEnd"/>
      <w:r>
        <w:rPr>
          <w:i/>
          <w:iCs/>
          <w:color w:val="231F20"/>
          <w:sz w:val="20"/>
          <w:szCs w:val="20"/>
        </w:rPr>
        <w:t xml:space="preserve"> International </w:t>
      </w:r>
      <w:proofErr w:type="spellStart"/>
      <w:r>
        <w:rPr>
          <w:i/>
          <w:iCs/>
          <w:color w:val="231F20"/>
          <w:sz w:val="20"/>
          <w:szCs w:val="20"/>
        </w:rPr>
        <w:t>Productions</w:t>
      </w:r>
      <w:proofErr w:type="spellEnd"/>
      <w:r>
        <w:rPr>
          <w:i/>
          <w:iCs/>
          <w:color w:val="231F20"/>
          <w:sz w:val="20"/>
          <w:szCs w:val="20"/>
        </w:rPr>
        <w:t xml:space="preserve"> (TRIP)</w:t>
      </w:r>
      <w:r>
        <w:rPr>
          <w:color w:val="231F20"/>
          <w:sz w:val="20"/>
          <w:szCs w:val="20"/>
        </w:rPr>
        <w:t xml:space="preserve">. </w:t>
      </w:r>
      <w:hyperlink r:id="rId29">
        <w:r>
          <w:rPr>
            <w:color w:val="0000FF"/>
            <w:sz w:val="20"/>
            <w:szCs w:val="20"/>
            <w:u w:val="single"/>
          </w:rPr>
          <w:t>https://www.cnc.fr/web/en/tax-rebate/the-tax-rebate-for-international-productions-trip_190742</w:t>
        </w:r>
      </w:hyperlink>
      <w:r>
        <w:rPr>
          <w:color w:val="231F20"/>
          <w:sz w:val="20"/>
          <w:szCs w:val="20"/>
        </w:rPr>
        <w:t xml:space="preserve"> </w:t>
      </w:r>
    </w:p>
    <w:p w14:paraId="188BAE11" w14:textId="77777777" w:rsidR="00836639" w:rsidRPr="003E056B" w:rsidRDefault="00000000">
      <w:pPr>
        <w:widowControl/>
        <w:pBdr>
          <w:top w:val="nil"/>
          <w:left w:val="nil"/>
          <w:bottom w:val="nil"/>
          <w:right w:val="nil"/>
          <w:between w:val="nil"/>
        </w:pBdr>
        <w:spacing w:after="80"/>
        <w:ind w:left="426" w:right="370"/>
        <w:jc w:val="both"/>
        <w:rPr>
          <w:color w:val="231F20"/>
          <w:sz w:val="20"/>
          <w:szCs w:val="20"/>
          <w:lang w:val="en-GB"/>
        </w:rPr>
      </w:pPr>
      <w:r w:rsidRPr="003E056B">
        <w:rPr>
          <w:color w:val="231F20"/>
          <w:sz w:val="20"/>
          <w:szCs w:val="20"/>
          <w:lang w:val="en-GB"/>
        </w:rPr>
        <w:t xml:space="preserve">Christopherson, S., &amp; </w:t>
      </w:r>
      <w:proofErr w:type="spellStart"/>
      <w:r w:rsidRPr="003E056B">
        <w:rPr>
          <w:color w:val="231F20"/>
          <w:sz w:val="20"/>
          <w:szCs w:val="20"/>
          <w:lang w:val="en-GB"/>
        </w:rPr>
        <w:t>Rightor</w:t>
      </w:r>
      <w:proofErr w:type="spellEnd"/>
      <w:r w:rsidRPr="003E056B">
        <w:rPr>
          <w:color w:val="231F20"/>
          <w:sz w:val="20"/>
          <w:szCs w:val="20"/>
          <w:lang w:val="en-GB"/>
        </w:rPr>
        <w:t xml:space="preserve">, N. (2010). The creative economy as “big business”: Evaluating state strategies to lure filmmakers. </w:t>
      </w:r>
      <w:r w:rsidRPr="003E056B">
        <w:rPr>
          <w:i/>
          <w:iCs/>
          <w:color w:val="231F20"/>
          <w:sz w:val="20"/>
          <w:szCs w:val="20"/>
          <w:lang w:val="en-GB"/>
        </w:rPr>
        <w:t>Journal of Planning Education and Research, 29</w:t>
      </w:r>
      <w:r w:rsidRPr="003E056B">
        <w:rPr>
          <w:color w:val="231F20"/>
          <w:sz w:val="20"/>
          <w:szCs w:val="20"/>
          <w:lang w:val="en-GB"/>
        </w:rPr>
        <w:t xml:space="preserve">(3), 336-352. </w:t>
      </w:r>
      <w:hyperlink r:id="rId30">
        <w:r w:rsidRPr="003E056B">
          <w:rPr>
            <w:color w:val="0000FF"/>
            <w:sz w:val="20"/>
            <w:szCs w:val="20"/>
            <w:u w:val="single"/>
            <w:lang w:val="en-GB"/>
          </w:rPr>
          <w:t>https://doi.org/10.1177/0739456X09354381</w:t>
        </w:r>
      </w:hyperlink>
      <w:r w:rsidRPr="003E056B">
        <w:rPr>
          <w:color w:val="231F20"/>
          <w:sz w:val="20"/>
          <w:szCs w:val="20"/>
          <w:lang w:val="en-GB"/>
        </w:rPr>
        <w:t xml:space="preserve"> </w:t>
      </w:r>
    </w:p>
    <w:p w14:paraId="41A17B1F" w14:textId="77777777" w:rsidR="00836639" w:rsidRPr="003E056B" w:rsidRDefault="00000000">
      <w:pPr>
        <w:widowControl/>
        <w:pBdr>
          <w:top w:val="nil"/>
          <w:left w:val="nil"/>
          <w:bottom w:val="nil"/>
          <w:right w:val="nil"/>
          <w:between w:val="nil"/>
        </w:pBdr>
        <w:spacing w:after="80"/>
        <w:ind w:left="426" w:right="370"/>
        <w:jc w:val="both"/>
        <w:rPr>
          <w:color w:val="231F20"/>
          <w:sz w:val="20"/>
          <w:szCs w:val="20"/>
          <w:lang w:val="en-GB"/>
        </w:rPr>
      </w:pPr>
      <w:r w:rsidRPr="003E056B">
        <w:rPr>
          <w:color w:val="231F20"/>
          <w:sz w:val="20"/>
          <w:szCs w:val="20"/>
          <w:lang w:val="en-GB"/>
        </w:rPr>
        <w:t xml:space="preserve">Costa Blanca Film Commission. (2025). </w:t>
      </w:r>
      <w:r w:rsidRPr="003E056B">
        <w:rPr>
          <w:i/>
          <w:iCs/>
          <w:color w:val="231F20"/>
          <w:sz w:val="20"/>
          <w:szCs w:val="20"/>
          <w:lang w:val="en-GB"/>
        </w:rPr>
        <w:t>Red Film Offices Costa Blanca</w:t>
      </w:r>
      <w:r w:rsidRPr="003E056B">
        <w:rPr>
          <w:color w:val="231F20"/>
          <w:sz w:val="20"/>
          <w:szCs w:val="20"/>
          <w:lang w:val="en-GB"/>
        </w:rPr>
        <w:t xml:space="preserve">. </w:t>
      </w:r>
      <w:hyperlink r:id="rId31">
        <w:r w:rsidRPr="003E056B">
          <w:rPr>
            <w:color w:val="0000FF"/>
            <w:sz w:val="20"/>
            <w:szCs w:val="20"/>
            <w:u w:val="single"/>
            <w:lang w:val="en-GB"/>
          </w:rPr>
          <w:t>https://www.costablanca.org/es/costa-blanca-for-all/costa-blanca-film-commission/film-office</w:t>
        </w:r>
      </w:hyperlink>
      <w:r w:rsidRPr="003E056B">
        <w:rPr>
          <w:color w:val="231F20"/>
          <w:sz w:val="20"/>
          <w:szCs w:val="20"/>
          <w:lang w:val="en-GB"/>
        </w:rPr>
        <w:t xml:space="preserve"> </w:t>
      </w:r>
    </w:p>
    <w:p w14:paraId="6AFD2FE6" w14:textId="77777777" w:rsidR="00836639" w:rsidRPr="003E056B" w:rsidRDefault="00000000">
      <w:pPr>
        <w:widowControl/>
        <w:pBdr>
          <w:top w:val="nil"/>
          <w:left w:val="nil"/>
          <w:bottom w:val="nil"/>
          <w:right w:val="nil"/>
          <w:between w:val="nil"/>
        </w:pBdr>
        <w:spacing w:after="80"/>
        <w:ind w:left="426" w:right="370"/>
        <w:jc w:val="both"/>
        <w:rPr>
          <w:color w:val="231F20"/>
          <w:sz w:val="20"/>
          <w:szCs w:val="20"/>
          <w:lang w:val="en-GB"/>
        </w:rPr>
      </w:pPr>
      <w:r w:rsidRPr="003E056B">
        <w:rPr>
          <w:color w:val="231F20"/>
          <w:sz w:val="20"/>
          <w:szCs w:val="20"/>
          <w:lang w:val="en-GB"/>
        </w:rPr>
        <w:t xml:space="preserve">European Commission. (2013a). Communication from the Commission on State aid for films and other audiovisual works (2013/C 332/01). </w:t>
      </w:r>
      <w:r w:rsidRPr="003E056B">
        <w:rPr>
          <w:i/>
          <w:iCs/>
          <w:color w:val="231F20"/>
          <w:sz w:val="20"/>
          <w:szCs w:val="20"/>
          <w:lang w:val="en-GB"/>
        </w:rPr>
        <w:t>Official Journal of the European Union</w:t>
      </w:r>
      <w:r w:rsidRPr="003E056B">
        <w:rPr>
          <w:color w:val="231F20"/>
          <w:sz w:val="20"/>
          <w:szCs w:val="20"/>
          <w:lang w:val="en-GB"/>
        </w:rPr>
        <w:t xml:space="preserve">, C 332, 1-11. </w:t>
      </w:r>
      <w:hyperlink r:id="rId32">
        <w:r w:rsidRPr="003E056B">
          <w:rPr>
            <w:color w:val="0000FF"/>
            <w:sz w:val="20"/>
            <w:szCs w:val="20"/>
            <w:u w:val="single"/>
            <w:lang w:val="en-GB"/>
          </w:rPr>
          <w:t>https://eur-lex.europa.eu/LexUriServ/LexUriServ.do?uri=OJ:C:2013:332:0001:0011:EN:PDF</w:t>
        </w:r>
      </w:hyperlink>
      <w:r w:rsidRPr="003E056B">
        <w:rPr>
          <w:color w:val="231F20"/>
          <w:sz w:val="20"/>
          <w:szCs w:val="20"/>
          <w:lang w:val="en-GB"/>
        </w:rPr>
        <w:t xml:space="preserve"> </w:t>
      </w:r>
    </w:p>
    <w:p w14:paraId="0E236A04" w14:textId="77777777" w:rsidR="00836639" w:rsidRPr="003E056B" w:rsidRDefault="00000000">
      <w:pPr>
        <w:widowControl/>
        <w:pBdr>
          <w:top w:val="nil"/>
          <w:left w:val="nil"/>
          <w:bottom w:val="nil"/>
          <w:right w:val="nil"/>
          <w:between w:val="nil"/>
        </w:pBdr>
        <w:spacing w:after="80"/>
        <w:ind w:left="426" w:right="370"/>
        <w:jc w:val="both"/>
        <w:rPr>
          <w:color w:val="231F20"/>
          <w:sz w:val="20"/>
          <w:szCs w:val="20"/>
          <w:lang w:val="en-GB"/>
        </w:rPr>
      </w:pPr>
      <w:proofErr w:type="spellStart"/>
      <w:r>
        <w:rPr>
          <w:color w:val="231F20"/>
          <w:sz w:val="20"/>
          <w:szCs w:val="20"/>
        </w:rPr>
        <w:t>European</w:t>
      </w:r>
      <w:proofErr w:type="spellEnd"/>
      <w:r>
        <w:rPr>
          <w:color w:val="231F20"/>
          <w:sz w:val="20"/>
          <w:szCs w:val="20"/>
        </w:rPr>
        <w:t xml:space="preserve"> </w:t>
      </w:r>
      <w:proofErr w:type="spellStart"/>
      <w:r>
        <w:rPr>
          <w:color w:val="231F20"/>
          <w:sz w:val="20"/>
          <w:szCs w:val="20"/>
        </w:rPr>
        <w:t>Commission</w:t>
      </w:r>
      <w:proofErr w:type="spellEnd"/>
      <w:r>
        <w:rPr>
          <w:color w:val="231F20"/>
          <w:sz w:val="20"/>
          <w:szCs w:val="20"/>
        </w:rPr>
        <w:t xml:space="preserve">. (2013b). Decisión de la Comisión de 8 de mayo de 2012 relativa a la ayuda estatal SA.22668 [C 8/08 (ex NN 4/08)] concedida por España a Ciudad de la Luz SA (2013/126/UE). </w:t>
      </w:r>
      <w:r w:rsidRPr="003E056B">
        <w:rPr>
          <w:i/>
          <w:iCs/>
          <w:color w:val="231F20"/>
          <w:sz w:val="20"/>
          <w:szCs w:val="20"/>
          <w:lang w:val="en-GB"/>
        </w:rPr>
        <w:t>Official Journal of the European Union</w:t>
      </w:r>
      <w:r w:rsidRPr="003E056B">
        <w:rPr>
          <w:color w:val="231F20"/>
          <w:sz w:val="20"/>
          <w:szCs w:val="20"/>
          <w:lang w:val="en-GB"/>
        </w:rPr>
        <w:t xml:space="preserve">, L 85, 1-35. </w:t>
      </w:r>
      <w:hyperlink r:id="rId33">
        <w:r w:rsidRPr="003E056B">
          <w:rPr>
            <w:color w:val="0000FF"/>
            <w:sz w:val="20"/>
            <w:szCs w:val="20"/>
            <w:u w:val="single"/>
            <w:lang w:val="en-GB"/>
          </w:rPr>
          <w:t>https://www.boe.es/doue/2013/085/L00001-00035.pdf</w:t>
        </w:r>
      </w:hyperlink>
      <w:r w:rsidRPr="003E056B">
        <w:rPr>
          <w:color w:val="231F20"/>
          <w:sz w:val="20"/>
          <w:szCs w:val="20"/>
          <w:lang w:val="en-GB"/>
        </w:rPr>
        <w:t xml:space="preserve"> </w:t>
      </w:r>
    </w:p>
    <w:p w14:paraId="7FA6DECF" w14:textId="77777777" w:rsidR="00836639" w:rsidRPr="003E056B" w:rsidRDefault="00000000">
      <w:pPr>
        <w:widowControl/>
        <w:pBdr>
          <w:top w:val="nil"/>
          <w:left w:val="nil"/>
          <w:bottom w:val="nil"/>
          <w:right w:val="nil"/>
          <w:between w:val="nil"/>
        </w:pBdr>
        <w:spacing w:after="80"/>
        <w:ind w:left="426" w:right="370"/>
        <w:jc w:val="both"/>
        <w:rPr>
          <w:color w:val="231F20"/>
          <w:sz w:val="20"/>
          <w:szCs w:val="20"/>
          <w:lang w:val="en-GB"/>
        </w:rPr>
      </w:pPr>
      <w:r w:rsidRPr="003E056B">
        <w:rPr>
          <w:color w:val="231F20"/>
          <w:sz w:val="20"/>
          <w:szCs w:val="20"/>
          <w:lang w:val="en-GB"/>
        </w:rPr>
        <w:t xml:space="preserve">European Parliament, &amp; Council of the European Union. (2018). Directive (EU) 2018/1808 of the European Parliament and of the Council of 14 November 2018 amending Directive 2010/13/EU on the coordination of certain provisions laid down by law, regulation or administrative action in Member States concerning the provision of audiovisual media services (Audiovisual Media Services Directive) in view of changing market realities. </w:t>
      </w:r>
      <w:r w:rsidRPr="003E056B">
        <w:rPr>
          <w:i/>
          <w:iCs/>
          <w:color w:val="231F20"/>
          <w:sz w:val="20"/>
          <w:szCs w:val="20"/>
          <w:lang w:val="en-GB"/>
        </w:rPr>
        <w:t>Official Journal of the European Union</w:t>
      </w:r>
      <w:r w:rsidRPr="003E056B">
        <w:rPr>
          <w:color w:val="231F20"/>
          <w:sz w:val="20"/>
          <w:szCs w:val="20"/>
          <w:lang w:val="en-GB"/>
        </w:rPr>
        <w:t xml:space="preserve">, L 303, 69-92. </w:t>
      </w:r>
      <w:hyperlink r:id="rId34">
        <w:r w:rsidRPr="003E056B">
          <w:rPr>
            <w:color w:val="0000FF"/>
            <w:sz w:val="20"/>
            <w:szCs w:val="20"/>
            <w:u w:val="single"/>
            <w:lang w:val="en-GB"/>
          </w:rPr>
          <w:t>https://eur-lex.europa.eu/legal-content/EN/TXT/PDF/?uri=CELEX:32018L1808</w:t>
        </w:r>
      </w:hyperlink>
      <w:r w:rsidRPr="003E056B">
        <w:rPr>
          <w:color w:val="231F20"/>
          <w:sz w:val="20"/>
          <w:szCs w:val="20"/>
          <w:lang w:val="en-GB"/>
        </w:rPr>
        <w:t xml:space="preserve">  </w:t>
      </w:r>
    </w:p>
    <w:p w14:paraId="3FBEB6B7" w14:textId="77777777" w:rsidR="00836639" w:rsidRDefault="00000000">
      <w:pPr>
        <w:widowControl/>
        <w:pBdr>
          <w:top w:val="nil"/>
          <w:left w:val="nil"/>
          <w:bottom w:val="nil"/>
          <w:right w:val="nil"/>
          <w:between w:val="nil"/>
        </w:pBdr>
        <w:spacing w:after="80"/>
        <w:ind w:left="426" w:right="370"/>
        <w:jc w:val="both"/>
        <w:rPr>
          <w:sz w:val="20"/>
          <w:szCs w:val="20"/>
        </w:rPr>
      </w:pPr>
      <w:r>
        <w:rPr>
          <w:sz w:val="20"/>
          <w:szCs w:val="20"/>
        </w:rPr>
        <w:lastRenderedPageBreak/>
        <w:t xml:space="preserve">Fernández-Díaz, E. (28 de noviembre de 2016). HBO se estrena en España con un centenar de series en su catálogo. </w:t>
      </w:r>
      <w:r>
        <w:rPr>
          <w:i/>
          <w:iCs/>
          <w:sz w:val="20"/>
          <w:szCs w:val="20"/>
        </w:rPr>
        <w:t>El Mundo</w:t>
      </w:r>
      <w:r>
        <w:rPr>
          <w:sz w:val="20"/>
          <w:szCs w:val="20"/>
        </w:rPr>
        <w:t xml:space="preserve">, </w:t>
      </w:r>
      <w:hyperlink r:id="rId35">
        <w:r>
          <w:rPr>
            <w:color w:val="0000FF"/>
            <w:sz w:val="20"/>
            <w:szCs w:val="20"/>
            <w:u w:val="single"/>
          </w:rPr>
          <w:t>https://www.elmundo.es/television/2016/11/28/583c0f67268e3e1a7f8b462a.html</w:t>
        </w:r>
      </w:hyperlink>
      <w:r>
        <w:rPr>
          <w:sz w:val="20"/>
          <w:szCs w:val="20"/>
        </w:rPr>
        <w:t xml:space="preserve"> </w:t>
      </w:r>
    </w:p>
    <w:p w14:paraId="12746CB7"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Pr>
          <w:sz w:val="20"/>
          <w:szCs w:val="20"/>
        </w:rPr>
        <w:t xml:space="preserve">Film Valencia (2025). </w:t>
      </w:r>
      <w:r w:rsidRPr="003E056B">
        <w:rPr>
          <w:i/>
          <w:iCs/>
          <w:sz w:val="20"/>
          <w:szCs w:val="20"/>
          <w:lang w:val="en-GB"/>
        </w:rPr>
        <w:t>Nuestra Red de Film Offices</w:t>
      </w:r>
      <w:r w:rsidRPr="003E056B">
        <w:rPr>
          <w:sz w:val="20"/>
          <w:szCs w:val="20"/>
          <w:lang w:val="en-GB"/>
        </w:rPr>
        <w:t xml:space="preserve">. </w:t>
      </w:r>
      <w:hyperlink r:id="rId36">
        <w:r w:rsidRPr="003E056B">
          <w:rPr>
            <w:color w:val="0000FF"/>
            <w:sz w:val="20"/>
            <w:szCs w:val="20"/>
            <w:u w:val="single"/>
            <w:lang w:val="en-GB"/>
          </w:rPr>
          <w:t>https://www.filmvalencia.com/filmoffices</w:t>
        </w:r>
      </w:hyperlink>
      <w:r w:rsidRPr="003E056B">
        <w:rPr>
          <w:sz w:val="20"/>
          <w:szCs w:val="20"/>
          <w:lang w:val="en-GB"/>
        </w:rPr>
        <w:t xml:space="preserve"> </w:t>
      </w:r>
    </w:p>
    <w:p w14:paraId="177B60FB" w14:textId="77777777" w:rsidR="00836639" w:rsidRDefault="00000000">
      <w:pPr>
        <w:widowControl/>
        <w:pBdr>
          <w:top w:val="nil"/>
          <w:left w:val="nil"/>
          <w:bottom w:val="nil"/>
          <w:right w:val="nil"/>
          <w:between w:val="nil"/>
        </w:pBdr>
        <w:spacing w:after="80"/>
        <w:ind w:left="426" w:right="370"/>
        <w:jc w:val="both"/>
        <w:rPr>
          <w:sz w:val="20"/>
          <w:szCs w:val="20"/>
        </w:rPr>
      </w:pPr>
      <w:r w:rsidRPr="003E056B">
        <w:rPr>
          <w:sz w:val="20"/>
          <w:szCs w:val="20"/>
          <w:lang w:val="en-GB"/>
        </w:rPr>
        <w:t xml:space="preserve">Flyvbjerg, B. (2006). Five misunderstandings about case-study research. </w:t>
      </w:r>
      <w:proofErr w:type="spellStart"/>
      <w:r>
        <w:rPr>
          <w:i/>
          <w:iCs/>
          <w:sz w:val="20"/>
          <w:szCs w:val="20"/>
        </w:rPr>
        <w:t>Qualitative</w:t>
      </w:r>
      <w:proofErr w:type="spellEnd"/>
      <w:r>
        <w:rPr>
          <w:i/>
          <w:iCs/>
          <w:sz w:val="20"/>
          <w:szCs w:val="20"/>
        </w:rPr>
        <w:t xml:space="preserve"> </w:t>
      </w:r>
      <w:proofErr w:type="spellStart"/>
      <w:r>
        <w:rPr>
          <w:i/>
          <w:iCs/>
          <w:sz w:val="20"/>
          <w:szCs w:val="20"/>
        </w:rPr>
        <w:t>Inquiry</w:t>
      </w:r>
      <w:proofErr w:type="spellEnd"/>
      <w:r>
        <w:rPr>
          <w:i/>
          <w:iCs/>
          <w:sz w:val="20"/>
          <w:szCs w:val="20"/>
        </w:rPr>
        <w:t>, 12</w:t>
      </w:r>
      <w:r>
        <w:rPr>
          <w:sz w:val="20"/>
          <w:szCs w:val="20"/>
        </w:rPr>
        <w:t xml:space="preserve">(2), 219-245. </w:t>
      </w:r>
      <w:hyperlink r:id="rId37">
        <w:r>
          <w:rPr>
            <w:color w:val="0000FF"/>
            <w:sz w:val="20"/>
            <w:szCs w:val="20"/>
            <w:u w:val="single"/>
          </w:rPr>
          <w:t>https://journals.sagepub.com/doi/10.1177/1077800405284363</w:t>
        </w:r>
      </w:hyperlink>
      <w:r>
        <w:rPr>
          <w:sz w:val="20"/>
          <w:szCs w:val="20"/>
        </w:rPr>
        <w:t xml:space="preserve"> </w:t>
      </w:r>
    </w:p>
    <w:p w14:paraId="73442F02" w14:textId="77777777" w:rsidR="00836639" w:rsidRDefault="00000000">
      <w:pPr>
        <w:widowControl/>
        <w:pBdr>
          <w:top w:val="nil"/>
          <w:left w:val="nil"/>
          <w:bottom w:val="nil"/>
          <w:right w:val="nil"/>
          <w:between w:val="nil"/>
        </w:pBdr>
        <w:spacing w:after="80"/>
        <w:ind w:left="426" w:right="370"/>
        <w:jc w:val="both"/>
        <w:rPr>
          <w:sz w:val="20"/>
          <w:szCs w:val="20"/>
        </w:rPr>
      </w:pPr>
      <w:r>
        <w:rPr>
          <w:sz w:val="20"/>
          <w:szCs w:val="20"/>
        </w:rPr>
        <w:t>Gobierno de España. (2023).</w:t>
      </w:r>
      <w:r>
        <w:t xml:space="preserve"> </w:t>
      </w:r>
      <w:r>
        <w:rPr>
          <w:i/>
          <w:iCs/>
          <w:sz w:val="20"/>
          <w:szCs w:val="20"/>
        </w:rPr>
        <w:t xml:space="preserve">Plan de Recuperación, Transformación y Resiliencia. Componente 25: Spain Audiovisual </w:t>
      </w:r>
      <w:proofErr w:type="gramStart"/>
      <w:r>
        <w:rPr>
          <w:i/>
          <w:iCs/>
          <w:sz w:val="20"/>
          <w:szCs w:val="20"/>
        </w:rPr>
        <w:t>Hub</w:t>
      </w:r>
      <w:proofErr w:type="gramEnd"/>
      <w:r>
        <w:rPr>
          <w:sz w:val="20"/>
          <w:szCs w:val="20"/>
        </w:rPr>
        <w:t xml:space="preserve">. </w:t>
      </w:r>
      <w:hyperlink r:id="rId38">
        <w:r>
          <w:rPr>
            <w:color w:val="0000FF"/>
            <w:sz w:val="20"/>
            <w:szCs w:val="20"/>
            <w:u w:val="single"/>
          </w:rPr>
          <w:t>https://planderecuperacion.gob.es/sites/default/files/2023-10/0310203_adenda_plan_de_recuperacion_componente25.pdf</w:t>
        </w:r>
      </w:hyperlink>
      <w:r>
        <w:rPr>
          <w:sz w:val="20"/>
          <w:szCs w:val="20"/>
        </w:rPr>
        <w:t xml:space="preserve"> </w:t>
      </w:r>
    </w:p>
    <w:p w14:paraId="19CC57EA"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Pr>
          <w:sz w:val="20"/>
          <w:szCs w:val="20"/>
        </w:rPr>
        <w:t xml:space="preserve">Huerta-Viso, P. J. (2024). </w:t>
      </w:r>
      <w:r>
        <w:rPr>
          <w:i/>
          <w:iCs/>
          <w:sz w:val="20"/>
          <w:szCs w:val="20"/>
        </w:rPr>
        <w:t>El turismo cinematográfico y las rutas de cine en España: Propuesta de un modelo de ruta cinematográfica para la Comunidad Valenciana</w:t>
      </w:r>
      <w:r>
        <w:rPr>
          <w:sz w:val="20"/>
          <w:szCs w:val="20"/>
        </w:rPr>
        <w:t xml:space="preserve"> [Tesis doctoral, </w:t>
      </w:r>
      <w:proofErr w:type="spellStart"/>
      <w:r>
        <w:rPr>
          <w:sz w:val="20"/>
          <w:szCs w:val="20"/>
        </w:rPr>
        <w:t>Universitat</w:t>
      </w:r>
      <w:proofErr w:type="spellEnd"/>
      <w:r>
        <w:rPr>
          <w:sz w:val="20"/>
          <w:szCs w:val="20"/>
        </w:rPr>
        <w:t xml:space="preserve"> de València]. </w:t>
      </w:r>
      <w:r w:rsidRPr="003E056B">
        <w:rPr>
          <w:sz w:val="20"/>
          <w:szCs w:val="20"/>
          <w:lang w:val="en-GB"/>
        </w:rPr>
        <w:t xml:space="preserve">RODERIC. </w:t>
      </w:r>
      <w:hyperlink r:id="rId39">
        <w:r w:rsidRPr="003E056B">
          <w:rPr>
            <w:color w:val="0000FF"/>
            <w:sz w:val="20"/>
            <w:szCs w:val="20"/>
            <w:u w:val="single"/>
            <w:lang w:val="en-GB"/>
          </w:rPr>
          <w:t>https://roderic.uv.es/items/aa0d999d-3897-457c-bb2e-ea3d5c8ecc86</w:t>
        </w:r>
      </w:hyperlink>
      <w:r w:rsidRPr="003E056B">
        <w:rPr>
          <w:sz w:val="20"/>
          <w:szCs w:val="20"/>
          <w:lang w:val="en-GB"/>
        </w:rPr>
        <w:t xml:space="preserve"> </w:t>
      </w:r>
    </w:p>
    <w:p w14:paraId="4F556CF8" w14:textId="77777777" w:rsidR="00836639" w:rsidRPr="003E056B" w:rsidRDefault="00000000">
      <w:pPr>
        <w:widowControl/>
        <w:pBdr>
          <w:top w:val="nil"/>
          <w:left w:val="nil"/>
          <w:bottom w:val="nil"/>
          <w:right w:val="nil"/>
          <w:between w:val="nil"/>
        </w:pBdr>
        <w:spacing w:after="80"/>
        <w:ind w:left="426" w:right="370"/>
        <w:jc w:val="both"/>
        <w:rPr>
          <w:color w:val="231F20"/>
          <w:sz w:val="20"/>
          <w:szCs w:val="20"/>
          <w:lang w:val="en-GB"/>
        </w:rPr>
      </w:pPr>
      <w:proofErr w:type="spellStart"/>
      <w:r w:rsidRPr="003E056B">
        <w:rPr>
          <w:color w:val="231F20"/>
          <w:sz w:val="20"/>
          <w:szCs w:val="20"/>
          <w:lang w:val="en-GB"/>
        </w:rPr>
        <w:t>Idiz</w:t>
      </w:r>
      <w:proofErr w:type="spellEnd"/>
      <w:r w:rsidRPr="003E056B">
        <w:rPr>
          <w:color w:val="231F20"/>
          <w:sz w:val="20"/>
          <w:szCs w:val="20"/>
          <w:lang w:val="en-GB"/>
        </w:rPr>
        <w:t xml:space="preserve">, D. R. (2024). Local Production for Global Streamers: How Netflix Shapes European Production Cultures. </w:t>
      </w:r>
      <w:r w:rsidRPr="003E056B">
        <w:rPr>
          <w:i/>
          <w:iCs/>
          <w:color w:val="231F20"/>
          <w:sz w:val="20"/>
          <w:szCs w:val="20"/>
          <w:lang w:val="en-GB"/>
        </w:rPr>
        <w:t>International Journal of Communication</w:t>
      </w:r>
      <w:r w:rsidRPr="003E056B">
        <w:rPr>
          <w:color w:val="231F20"/>
          <w:sz w:val="20"/>
          <w:szCs w:val="20"/>
          <w:lang w:val="en-GB"/>
        </w:rPr>
        <w:t xml:space="preserve">, 18, 2129-2148. </w:t>
      </w:r>
      <w:hyperlink r:id="rId40">
        <w:r w:rsidRPr="003E056B">
          <w:rPr>
            <w:color w:val="0000FF"/>
            <w:sz w:val="20"/>
            <w:szCs w:val="20"/>
            <w:u w:val="single"/>
            <w:lang w:val="en-GB"/>
          </w:rPr>
          <w:t>https://ijoc.org/index.php/ijoc/article/view/21881</w:t>
        </w:r>
      </w:hyperlink>
      <w:r w:rsidRPr="003E056B">
        <w:rPr>
          <w:color w:val="231F20"/>
          <w:sz w:val="20"/>
          <w:szCs w:val="20"/>
          <w:lang w:val="en-GB"/>
        </w:rPr>
        <w:t xml:space="preserve"> </w:t>
      </w:r>
    </w:p>
    <w:p w14:paraId="1B425271" w14:textId="77777777" w:rsidR="00836639" w:rsidRDefault="00000000">
      <w:pPr>
        <w:widowControl/>
        <w:pBdr>
          <w:top w:val="nil"/>
          <w:left w:val="nil"/>
          <w:bottom w:val="nil"/>
          <w:right w:val="nil"/>
          <w:between w:val="nil"/>
        </w:pBdr>
        <w:spacing w:after="80"/>
        <w:ind w:left="426" w:right="370"/>
        <w:jc w:val="both"/>
        <w:rPr>
          <w:color w:val="0000FF"/>
          <w:sz w:val="20"/>
          <w:szCs w:val="20"/>
          <w:u w:val="single"/>
        </w:rPr>
      </w:pPr>
      <w:r>
        <w:rPr>
          <w:color w:val="231F20"/>
          <w:sz w:val="20"/>
          <w:szCs w:val="20"/>
        </w:rPr>
        <w:t xml:space="preserve">Izquierdo-Castillo, J., &amp; Latorre-Lázaro, T. (2022). Oferta de contenidos de las plataformas audiovisuales. Hacia una necesaria conceptualización de la programación </w:t>
      </w:r>
      <w:proofErr w:type="spellStart"/>
      <w:r>
        <w:rPr>
          <w:color w:val="231F20"/>
          <w:sz w:val="20"/>
          <w:szCs w:val="20"/>
        </w:rPr>
        <w:t>streaming</w:t>
      </w:r>
      <w:proofErr w:type="spellEnd"/>
      <w:r>
        <w:rPr>
          <w:color w:val="231F20"/>
          <w:sz w:val="20"/>
          <w:szCs w:val="20"/>
        </w:rPr>
        <w:t xml:space="preserve">. </w:t>
      </w:r>
      <w:r>
        <w:rPr>
          <w:i/>
          <w:iCs/>
          <w:color w:val="231F20"/>
          <w:sz w:val="20"/>
          <w:szCs w:val="20"/>
        </w:rPr>
        <w:t>Profesional de la información</w:t>
      </w:r>
      <w:r>
        <w:rPr>
          <w:color w:val="231F20"/>
          <w:sz w:val="20"/>
          <w:szCs w:val="20"/>
        </w:rPr>
        <w:t xml:space="preserve">, 31(2), 1-13. </w:t>
      </w:r>
      <w:hyperlink r:id="rId41">
        <w:r>
          <w:rPr>
            <w:color w:val="0000FF"/>
            <w:sz w:val="20"/>
            <w:szCs w:val="20"/>
            <w:u w:val="single"/>
          </w:rPr>
          <w:t>https://doi.org/10.3145/epi.2022.mar.18</w:t>
        </w:r>
      </w:hyperlink>
    </w:p>
    <w:p w14:paraId="5A61858D" w14:textId="77777777" w:rsidR="00836639" w:rsidRDefault="00000000">
      <w:pPr>
        <w:widowControl/>
        <w:pBdr>
          <w:top w:val="nil"/>
          <w:left w:val="nil"/>
          <w:bottom w:val="nil"/>
          <w:right w:val="nil"/>
          <w:between w:val="nil"/>
        </w:pBdr>
        <w:spacing w:after="80"/>
        <w:ind w:left="426" w:right="370"/>
        <w:jc w:val="both"/>
        <w:rPr>
          <w:color w:val="231F20"/>
          <w:sz w:val="20"/>
          <w:szCs w:val="20"/>
        </w:rPr>
      </w:pPr>
      <w:r>
        <w:rPr>
          <w:color w:val="231F20"/>
          <w:sz w:val="20"/>
          <w:szCs w:val="20"/>
        </w:rPr>
        <w:t xml:space="preserve">Jackson, G. (2011). </w:t>
      </w:r>
      <w:r w:rsidRPr="003E056B">
        <w:rPr>
          <w:color w:val="231F20"/>
          <w:sz w:val="20"/>
          <w:szCs w:val="20"/>
          <w:lang w:val="en-GB"/>
        </w:rPr>
        <w:t xml:space="preserve">Rethinking the case method. </w:t>
      </w:r>
      <w:r w:rsidRPr="003E056B">
        <w:rPr>
          <w:i/>
          <w:iCs/>
          <w:color w:val="231F20"/>
          <w:sz w:val="20"/>
          <w:szCs w:val="20"/>
          <w:lang w:val="en-GB"/>
        </w:rPr>
        <w:t>Journal of Management Policy and Practice, 12</w:t>
      </w:r>
      <w:r w:rsidRPr="003E056B">
        <w:rPr>
          <w:color w:val="231F20"/>
          <w:sz w:val="20"/>
          <w:szCs w:val="20"/>
          <w:lang w:val="en-GB"/>
        </w:rPr>
        <w:t xml:space="preserve">(5), 142-164. </w:t>
      </w:r>
      <w:hyperlink r:id="rId42">
        <w:r>
          <w:rPr>
            <w:color w:val="0000FF"/>
            <w:sz w:val="20"/>
            <w:szCs w:val="20"/>
            <w:u w:val="single"/>
          </w:rPr>
          <w:t>http://digitalcommons.www.na-businesspress.com/JMPP/Jackson_Final_Revised_Web.pdf</w:t>
        </w:r>
      </w:hyperlink>
      <w:r>
        <w:rPr>
          <w:color w:val="231F20"/>
          <w:sz w:val="20"/>
          <w:szCs w:val="20"/>
        </w:rPr>
        <w:t xml:space="preserve"> </w:t>
      </w:r>
    </w:p>
    <w:p w14:paraId="6A4D5D85" w14:textId="77777777" w:rsidR="00836639" w:rsidRDefault="00000000">
      <w:pPr>
        <w:widowControl/>
        <w:pBdr>
          <w:top w:val="nil"/>
          <w:left w:val="nil"/>
          <w:bottom w:val="nil"/>
          <w:right w:val="nil"/>
          <w:between w:val="nil"/>
        </w:pBdr>
        <w:spacing w:after="80"/>
        <w:ind w:left="426" w:right="370"/>
        <w:jc w:val="both"/>
        <w:rPr>
          <w:color w:val="231F20"/>
          <w:sz w:val="20"/>
          <w:szCs w:val="20"/>
        </w:rPr>
      </w:pPr>
      <w:r>
        <w:rPr>
          <w:color w:val="231F20"/>
          <w:sz w:val="20"/>
          <w:szCs w:val="20"/>
        </w:rPr>
        <w:t xml:space="preserve">Jefatura del Estado. (2020). </w:t>
      </w:r>
      <w:r>
        <w:rPr>
          <w:i/>
          <w:iCs/>
          <w:color w:val="231F20"/>
          <w:sz w:val="20"/>
          <w:szCs w:val="20"/>
        </w:rPr>
        <w:t>Ley 27/2014, de 27 de noviembre, del Impuesto sobre Sociedades (BOE núm. 288, de 28 de noviembre de 2014; BOE-A-2014-12328)</w:t>
      </w:r>
      <w:r>
        <w:rPr>
          <w:color w:val="231F20"/>
          <w:sz w:val="20"/>
          <w:szCs w:val="20"/>
        </w:rPr>
        <w:t xml:space="preserve">. Boletín Oficial del Estado. </w:t>
      </w:r>
      <w:hyperlink r:id="rId43">
        <w:r>
          <w:rPr>
            <w:color w:val="0000FF"/>
            <w:sz w:val="20"/>
            <w:szCs w:val="20"/>
            <w:u w:val="single"/>
          </w:rPr>
          <w:t>https://www.boe.es/buscar/act.php?id=BOE-A-2014-12328</w:t>
        </w:r>
      </w:hyperlink>
      <w:r>
        <w:rPr>
          <w:color w:val="231F20"/>
          <w:sz w:val="20"/>
          <w:szCs w:val="20"/>
        </w:rPr>
        <w:t xml:space="preserve"> </w:t>
      </w:r>
    </w:p>
    <w:p w14:paraId="3509955A" w14:textId="77777777" w:rsidR="00836639" w:rsidRDefault="00000000">
      <w:pPr>
        <w:widowControl/>
        <w:pBdr>
          <w:top w:val="nil"/>
          <w:left w:val="nil"/>
          <w:bottom w:val="nil"/>
          <w:right w:val="nil"/>
          <w:between w:val="nil"/>
        </w:pBdr>
        <w:spacing w:after="80"/>
        <w:ind w:left="426" w:right="370"/>
        <w:jc w:val="both"/>
        <w:rPr>
          <w:color w:val="231F20"/>
          <w:sz w:val="20"/>
          <w:szCs w:val="20"/>
        </w:rPr>
      </w:pPr>
      <w:r>
        <w:rPr>
          <w:color w:val="231F20"/>
          <w:sz w:val="20"/>
          <w:szCs w:val="20"/>
        </w:rPr>
        <w:t xml:space="preserve">Jefatura del Estado. (2022). </w:t>
      </w:r>
      <w:r>
        <w:rPr>
          <w:i/>
          <w:iCs/>
          <w:color w:val="231F20"/>
          <w:sz w:val="20"/>
          <w:szCs w:val="20"/>
        </w:rPr>
        <w:t>Ley 13/2022, de 7 de julio, General de Comunicación Audiovisual (BOE núm. 162; BOE-A-2022-11311)</w:t>
      </w:r>
      <w:r>
        <w:rPr>
          <w:color w:val="231F20"/>
          <w:sz w:val="20"/>
          <w:szCs w:val="20"/>
        </w:rPr>
        <w:t xml:space="preserve">. Boletín Oficial del Estado. </w:t>
      </w:r>
      <w:hyperlink r:id="rId44">
        <w:r>
          <w:rPr>
            <w:color w:val="0000FF"/>
            <w:sz w:val="20"/>
            <w:szCs w:val="20"/>
            <w:u w:val="single"/>
          </w:rPr>
          <w:t>https://www.boe.es/buscar/act.php?id=BOE-A-2022-11311</w:t>
        </w:r>
      </w:hyperlink>
      <w:r>
        <w:rPr>
          <w:color w:val="231F20"/>
          <w:sz w:val="20"/>
          <w:szCs w:val="20"/>
        </w:rPr>
        <w:t xml:space="preserve"> </w:t>
      </w:r>
    </w:p>
    <w:p w14:paraId="4BB375F6" w14:textId="77777777" w:rsidR="00836639" w:rsidRDefault="00000000">
      <w:pPr>
        <w:widowControl/>
        <w:pBdr>
          <w:top w:val="nil"/>
          <w:left w:val="nil"/>
          <w:bottom w:val="nil"/>
          <w:right w:val="nil"/>
          <w:between w:val="nil"/>
        </w:pBdr>
        <w:spacing w:after="80"/>
        <w:ind w:left="426" w:right="370"/>
        <w:jc w:val="both"/>
        <w:rPr>
          <w:color w:val="231F20"/>
          <w:sz w:val="20"/>
          <w:szCs w:val="20"/>
        </w:rPr>
      </w:pPr>
      <w:r w:rsidRPr="003E056B">
        <w:rPr>
          <w:color w:val="231F20"/>
          <w:sz w:val="20"/>
          <w:szCs w:val="20"/>
          <w:lang w:val="en-GB"/>
        </w:rPr>
        <w:t xml:space="preserve">Jenner, M. (2023). </w:t>
      </w:r>
      <w:r w:rsidRPr="003E056B">
        <w:rPr>
          <w:i/>
          <w:iCs/>
          <w:color w:val="231F20"/>
          <w:sz w:val="20"/>
          <w:szCs w:val="20"/>
          <w:lang w:val="en-GB"/>
        </w:rPr>
        <w:t>Netflix and the Re-invention of Television</w:t>
      </w:r>
      <w:r w:rsidRPr="003E056B">
        <w:rPr>
          <w:color w:val="231F20"/>
          <w:sz w:val="20"/>
          <w:szCs w:val="20"/>
          <w:lang w:val="en-GB"/>
        </w:rPr>
        <w:t xml:space="preserve">. </w:t>
      </w:r>
      <w:proofErr w:type="spellStart"/>
      <w:r>
        <w:rPr>
          <w:color w:val="231F20"/>
          <w:sz w:val="20"/>
          <w:szCs w:val="20"/>
        </w:rPr>
        <w:t>Palgrave</w:t>
      </w:r>
      <w:proofErr w:type="spellEnd"/>
      <w:r>
        <w:rPr>
          <w:color w:val="231F20"/>
          <w:sz w:val="20"/>
          <w:szCs w:val="20"/>
        </w:rPr>
        <w:t xml:space="preserve"> Macmillan Cham. </w:t>
      </w:r>
      <w:hyperlink r:id="rId45">
        <w:r>
          <w:rPr>
            <w:color w:val="0000FF"/>
            <w:sz w:val="20"/>
            <w:szCs w:val="20"/>
            <w:u w:val="single"/>
          </w:rPr>
          <w:t>https://doi.org/10.1007/978-3-031-39237-5</w:t>
        </w:r>
      </w:hyperlink>
      <w:r>
        <w:rPr>
          <w:color w:val="231F20"/>
          <w:sz w:val="20"/>
          <w:szCs w:val="20"/>
        </w:rPr>
        <w:t xml:space="preserve"> </w:t>
      </w:r>
    </w:p>
    <w:p w14:paraId="3EC13728" w14:textId="77777777" w:rsidR="00836639" w:rsidRDefault="00000000">
      <w:pPr>
        <w:widowControl/>
        <w:pBdr>
          <w:top w:val="nil"/>
          <w:left w:val="nil"/>
          <w:bottom w:val="nil"/>
          <w:right w:val="nil"/>
          <w:between w:val="nil"/>
        </w:pBdr>
        <w:spacing w:after="80"/>
        <w:ind w:left="426" w:right="370"/>
        <w:jc w:val="both"/>
        <w:rPr>
          <w:color w:val="231F20"/>
          <w:sz w:val="20"/>
          <w:szCs w:val="20"/>
        </w:rPr>
      </w:pPr>
      <w:r w:rsidRPr="003E056B">
        <w:rPr>
          <w:color w:val="231F20"/>
          <w:sz w:val="20"/>
          <w:szCs w:val="20"/>
          <w:lang w:val="en-GB"/>
        </w:rPr>
        <w:t xml:space="preserve">Knight Frank. (2022). </w:t>
      </w:r>
      <w:r w:rsidRPr="003E056B">
        <w:rPr>
          <w:i/>
          <w:iCs/>
          <w:color w:val="231F20"/>
          <w:sz w:val="20"/>
          <w:szCs w:val="20"/>
          <w:lang w:val="en-GB"/>
        </w:rPr>
        <w:t>UK Film and Television Studios Market: Taking Centre Stage</w:t>
      </w:r>
      <w:r w:rsidRPr="003E056B">
        <w:rPr>
          <w:color w:val="231F20"/>
          <w:sz w:val="20"/>
          <w:szCs w:val="20"/>
          <w:lang w:val="en-GB"/>
        </w:rPr>
        <w:t xml:space="preserve">. </w:t>
      </w:r>
      <w:hyperlink r:id="rId46">
        <w:r>
          <w:rPr>
            <w:color w:val="0000FF"/>
            <w:sz w:val="20"/>
            <w:szCs w:val="20"/>
            <w:u w:val="single"/>
          </w:rPr>
          <w:t>https://content.knightfrank.com/research/2439/documents/en/uk-film-and-television-studios-market-2022-9004.pdf</w:t>
        </w:r>
      </w:hyperlink>
      <w:r>
        <w:rPr>
          <w:color w:val="231F20"/>
          <w:sz w:val="20"/>
          <w:szCs w:val="20"/>
        </w:rPr>
        <w:t xml:space="preserve"> </w:t>
      </w:r>
    </w:p>
    <w:p w14:paraId="156DDCBD" w14:textId="77777777" w:rsidR="00836639" w:rsidRDefault="00000000">
      <w:pPr>
        <w:widowControl/>
        <w:pBdr>
          <w:top w:val="nil"/>
          <w:left w:val="nil"/>
          <w:bottom w:val="nil"/>
          <w:right w:val="nil"/>
          <w:between w:val="nil"/>
        </w:pBdr>
        <w:spacing w:after="80"/>
        <w:ind w:left="426" w:right="370"/>
        <w:jc w:val="both"/>
        <w:rPr>
          <w:color w:val="231F20"/>
          <w:sz w:val="20"/>
          <w:szCs w:val="20"/>
        </w:rPr>
      </w:pPr>
      <w:r w:rsidRPr="003E056B">
        <w:rPr>
          <w:color w:val="231F20"/>
          <w:sz w:val="20"/>
          <w:szCs w:val="20"/>
          <w:lang w:val="en-GB"/>
        </w:rPr>
        <w:t xml:space="preserve">Knight Frank. (2023). </w:t>
      </w:r>
      <w:r w:rsidRPr="003E056B">
        <w:rPr>
          <w:i/>
          <w:iCs/>
          <w:color w:val="231F20"/>
          <w:sz w:val="20"/>
          <w:szCs w:val="20"/>
          <w:lang w:val="en-GB"/>
        </w:rPr>
        <w:t>UK Film and Television Studios Market Report</w:t>
      </w:r>
      <w:r w:rsidRPr="003E056B">
        <w:rPr>
          <w:color w:val="231F20"/>
          <w:sz w:val="20"/>
          <w:szCs w:val="20"/>
          <w:lang w:val="en-GB"/>
        </w:rPr>
        <w:t xml:space="preserve">. </w:t>
      </w:r>
      <w:hyperlink r:id="rId47">
        <w:r>
          <w:rPr>
            <w:color w:val="0000FF"/>
            <w:sz w:val="20"/>
            <w:szCs w:val="20"/>
            <w:u w:val="single"/>
          </w:rPr>
          <w:t>https://content.knightfrank.com/research/2439/documents/en/uk-film-and-television-studios-market-2023-10567.pdf</w:t>
        </w:r>
      </w:hyperlink>
      <w:r>
        <w:rPr>
          <w:color w:val="231F20"/>
          <w:sz w:val="20"/>
          <w:szCs w:val="20"/>
        </w:rPr>
        <w:t xml:space="preserve"> </w:t>
      </w:r>
    </w:p>
    <w:p w14:paraId="32BA0505" w14:textId="77777777" w:rsidR="00836639" w:rsidRDefault="00000000">
      <w:pPr>
        <w:widowControl/>
        <w:pBdr>
          <w:top w:val="nil"/>
          <w:left w:val="nil"/>
          <w:bottom w:val="nil"/>
          <w:right w:val="nil"/>
          <w:between w:val="nil"/>
        </w:pBdr>
        <w:spacing w:after="80"/>
        <w:ind w:left="426" w:right="370"/>
        <w:jc w:val="both"/>
        <w:rPr>
          <w:color w:val="231F20"/>
          <w:sz w:val="20"/>
          <w:szCs w:val="20"/>
        </w:rPr>
      </w:pPr>
      <w:r>
        <w:rPr>
          <w:color w:val="231F20"/>
          <w:sz w:val="20"/>
          <w:szCs w:val="20"/>
        </w:rPr>
        <w:t xml:space="preserve">La Vanguardia. (14 de diciembre de 2016). Amazon Prime Video ya está en España. </w:t>
      </w:r>
      <w:r>
        <w:rPr>
          <w:i/>
          <w:iCs/>
          <w:color w:val="231F20"/>
          <w:sz w:val="20"/>
          <w:szCs w:val="20"/>
        </w:rPr>
        <w:t>La Vanguardia</w:t>
      </w:r>
      <w:r>
        <w:rPr>
          <w:color w:val="231F20"/>
          <w:sz w:val="20"/>
          <w:szCs w:val="20"/>
        </w:rPr>
        <w:t xml:space="preserve">, </w:t>
      </w:r>
      <w:hyperlink r:id="rId48">
        <w:r>
          <w:rPr>
            <w:color w:val="0000FF"/>
            <w:sz w:val="20"/>
            <w:szCs w:val="20"/>
            <w:u w:val="single"/>
          </w:rPr>
          <w:t>https://www.lavanguardia.com/television/20161214/412615607564/amazon-prime-video-espana-hoy.html</w:t>
        </w:r>
      </w:hyperlink>
      <w:r>
        <w:rPr>
          <w:color w:val="231F20"/>
          <w:sz w:val="20"/>
          <w:szCs w:val="20"/>
        </w:rPr>
        <w:t xml:space="preserve"> </w:t>
      </w:r>
    </w:p>
    <w:p w14:paraId="255F59CC" w14:textId="77777777" w:rsidR="00836639" w:rsidRPr="003E056B" w:rsidRDefault="00000000">
      <w:pPr>
        <w:widowControl/>
        <w:pBdr>
          <w:top w:val="nil"/>
          <w:left w:val="nil"/>
          <w:bottom w:val="nil"/>
          <w:right w:val="nil"/>
          <w:between w:val="nil"/>
        </w:pBdr>
        <w:spacing w:after="80"/>
        <w:ind w:left="426" w:right="370"/>
        <w:jc w:val="both"/>
        <w:rPr>
          <w:color w:val="231F20"/>
          <w:sz w:val="20"/>
          <w:szCs w:val="20"/>
          <w:lang w:val="pt-BR"/>
        </w:rPr>
      </w:pPr>
      <w:r>
        <w:rPr>
          <w:color w:val="231F20"/>
          <w:sz w:val="20"/>
          <w:szCs w:val="20"/>
        </w:rPr>
        <w:lastRenderedPageBreak/>
        <w:t xml:space="preserve">Levante EMV. (8 de noviembre de 2015). Los rodajes que promocionen la ciudad no pagarán tasas municipales. </w:t>
      </w:r>
      <w:proofErr w:type="gramStart"/>
      <w:r w:rsidRPr="003E056B">
        <w:rPr>
          <w:i/>
          <w:iCs/>
          <w:color w:val="231F20"/>
          <w:sz w:val="20"/>
          <w:szCs w:val="20"/>
          <w:lang w:val="pt-BR"/>
        </w:rPr>
        <w:t>Levante</w:t>
      </w:r>
      <w:proofErr w:type="gramEnd"/>
      <w:r w:rsidRPr="003E056B">
        <w:rPr>
          <w:i/>
          <w:iCs/>
          <w:color w:val="231F20"/>
          <w:sz w:val="20"/>
          <w:szCs w:val="20"/>
          <w:lang w:val="pt-BR"/>
        </w:rPr>
        <w:t xml:space="preserve"> EMV</w:t>
      </w:r>
      <w:r w:rsidRPr="003E056B">
        <w:rPr>
          <w:color w:val="231F20"/>
          <w:sz w:val="20"/>
          <w:szCs w:val="20"/>
          <w:lang w:val="pt-BR"/>
        </w:rPr>
        <w:t xml:space="preserve">. </w:t>
      </w:r>
      <w:hyperlink r:id="rId49">
        <w:r w:rsidRPr="003E056B">
          <w:rPr>
            <w:color w:val="0000FF"/>
            <w:sz w:val="20"/>
            <w:szCs w:val="20"/>
            <w:u w:val="single"/>
            <w:lang w:val="pt-BR"/>
          </w:rPr>
          <w:t>https://www.levante-emv.com/valencia/2015/11/08/rodajes-promocionen-ciudad-pagaran-tasas-12511326.html</w:t>
        </w:r>
      </w:hyperlink>
      <w:r w:rsidRPr="003E056B">
        <w:rPr>
          <w:color w:val="231F20"/>
          <w:sz w:val="20"/>
          <w:szCs w:val="20"/>
          <w:lang w:val="pt-BR"/>
        </w:rPr>
        <w:t xml:space="preserve"> </w:t>
      </w:r>
    </w:p>
    <w:p w14:paraId="5604BDCD" w14:textId="77777777" w:rsidR="00836639" w:rsidRPr="003E056B" w:rsidRDefault="00000000">
      <w:pPr>
        <w:widowControl/>
        <w:pBdr>
          <w:top w:val="nil"/>
          <w:left w:val="nil"/>
          <w:bottom w:val="nil"/>
          <w:right w:val="nil"/>
          <w:between w:val="nil"/>
        </w:pBdr>
        <w:spacing w:after="80"/>
        <w:ind w:left="426" w:right="370"/>
        <w:jc w:val="both"/>
        <w:rPr>
          <w:color w:val="231F20"/>
          <w:sz w:val="20"/>
          <w:szCs w:val="20"/>
          <w:lang w:val="en-GB"/>
        </w:rPr>
      </w:pPr>
      <w:r w:rsidRPr="003E056B">
        <w:rPr>
          <w:color w:val="231F20"/>
          <w:sz w:val="20"/>
          <w:szCs w:val="20"/>
          <w:lang w:val="en-GB"/>
        </w:rPr>
        <w:t xml:space="preserve">Lotz, A. D. (2017). </w:t>
      </w:r>
      <w:r w:rsidRPr="003E056B">
        <w:rPr>
          <w:i/>
          <w:iCs/>
          <w:color w:val="231F20"/>
          <w:sz w:val="20"/>
          <w:szCs w:val="20"/>
          <w:lang w:val="en-GB"/>
        </w:rPr>
        <w:t>Portals: A Treatise on Internet-Distributed Television</w:t>
      </w:r>
      <w:r w:rsidRPr="003E056B">
        <w:rPr>
          <w:color w:val="231F20"/>
          <w:sz w:val="20"/>
          <w:szCs w:val="20"/>
          <w:lang w:val="en-GB"/>
        </w:rPr>
        <w:t xml:space="preserve">. Michigan Publishing. </w:t>
      </w:r>
      <w:hyperlink r:id="rId50">
        <w:r w:rsidRPr="003E056B">
          <w:rPr>
            <w:color w:val="0000FF"/>
            <w:sz w:val="20"/>
            <w:szCs w:val="20"/>
            <w:u w:val="single"/>
            <w:lang w:val="en-GB"/>
          </w:rPr>
          <w:t>https://www.fulcrum.org/concern/monographs/br86b585k</w:t>
        </w:r>
      </w:hyperlink>
      <w:r w:rsidRPr="003E056B">
        <w:rPr>
          <w:color w:val="231F20"/>
          <w:sz w:val="20"/>
          <w:szCs w:val="20"/>
          <w:lang w:val="en-GB"/>
        </w:rPr>
        <w:t xml:space="preserve"> </w:t>
      </w:r>
    </w:p>
    <w:p w14:paraId="0EF24162" w14:textId="77777777" w:rsidR="00836639" w:rsidRDefault="00000000">
      <w:pPr>
        <w:widowControl/>
        <w:pBdr>
          <w:top w:val="nil"/>
          <w:left w:val="nil"/>
          <w:bottom w:val="nil"/>
          <w:right w:val="nil"/>
          <w:between w:val="nil"/>
        </w:pBdr>
        <w:spacing w:after="80"/>
        <w:ind w:left="426" w:right="370"/>
        <w:jc w:val="both"/>
        <w:rPr>
          <w:color w:val="231F20"/>
          <w:sz w:val="20"/>
          <w:szCs w:val="20"/>
        </w:rPr>
      </w:pPr>
      <w:r w:rsidRPr="003E056B">
        <w:rPr>
          <w:color w:val="231F20"/>
          <w:sz w:val="20"/>
          <w:szCs w:val="20"/>
          <w:lang w:val="en-GB"/>
        </w:rPr>
        <w:t xml:space="preserve">Málaga Film Office (2025). </w:t>
      </w:r>
      <w:r>
        <w:rPr>
          <w:i/>
          <w:iCs/>
          <w:color w:val="231F20"/>
          <w:sz w:val="20"/>
          <w:szCs w:val="20"/>
        </w:rPr>
        <w:t>Cómo rodar en Málaga</w:t>
      </w:r>
      <w:r>
        <w:rPr>
          <w:color w:val="231F20"/>
          <w:sz w:val="20"/>
          <w:szCs w:val="20"/>
        </w:rPr>
        <w:t xml:space="preserve">. </w:t>
      </w:r>
      <w:hyperlink r:id="rId51">
        <w:r>
          <w:rPr>
            <w:color w:val="0000FF"/>
            <w:sz w:val="20"/>
            <w:szCs w:val="20"/>
            <w:u w:val="single"/>
          </w:rPr>
          <w:t>https://www.malagafilmoffice.com/como-rodar/como-rodar-en-malaga/</w:t>
        </w:r>
      </w:hyperlink>
      <w:r>
        <w:rPr>
          <w:color w:val="231F20"/>
          <w:sz w:val="20"/>
          <w:szCs w:val="20"/>
        </w:rPr>
        <w:t xml:space="preserve"> </w:t>
      </w:r>
    </w:p>
    <w:p w14:paraId="7EC31341" w14:textId="77777777" w:rsidR="00836639" w:rsidRDefault="00000000">
      <w:pPr>
        <w:widowControl/>
        <w:pBdr>
          <w:top w:val="nil"/>
          <w:left w:val="nil"/>
          <w:bottom w:val="nil"/>
          <w:right w:val="nil"/>
          <w:between w:val="nil"/>
        </w:pBdr>
        <w:spacing w:after="80"/>
        <w:ind w:left="426" w:right="370"/>
        <w:jc w:val="both"/>
        <w:rPr>
          <w:sz w:val="20"/>
          <w:szCs w:val="20"/>
        </w:rPr>
      </w:pPr>
      <w:r>
        <w:rPr>
          <w:sz w:val="20"/>
          <w:szCs w:val="20"/>
        </w:rPr>
        <w:t xml:space="preserve">Marcos-Guillamas, N. (20 de octubre de 2015). Netflix desembarca en España. </w:t>
      </w:r>
      <w:r>
        <w:rPr>
          <w:i/>
          <w:iCs/>
          <w:sz w:val="20"/>
          <w:szCs w:val="20"/>
        </w:rPr>
        <w:t>El País</w:t>
      </w:r>
      <w:r>
        <w:rPr>
          <w:sz w:val="20"/>
          <w:szCs w:val="20"/>
        </w:rPr>
        <w:t xml:space="preserve">, </w:t>
      </w:r>
      <w:hyperlink r:id="rId52">
        <w:r>
          <w:rPr>
            <w:color w:val="0000FF"/>
            <w:sz w:val="20"/>
            <w:szCs w:val="20"/>
            <w:u w:val="single"/>
          </w:rPr>
          <w:t>https://elpais.com/cultura/2015/10/20/television/1445333554_738468.html</w:t>
        </w:r>
      </w:hyperlink>
      <w:r>
        <w:rPr>
          <w:sz w:val="20"/>
          <w:szCs w:val="20"/>
        </w:rPr>
        <w:t xml:space="preserve"> </w:t>
      </w:r>
    </w:p>
    <w:p w14:paraId="1CC6AFD5"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Pr>
          <w:sz w:val="20"/>
          <w:szCs w:val="20"/>
        </w:rPr>
        <w:t xml:space="preserve">McDonald, A. H. (2011). </w:t>
      </w:r>
      <w:r w:rsidRPr="003E056B">
        <w:rPr>
          <w:sz w:val="20"/>
          <w:szCs w:val="20"/>
          <w:lang w:val="en-GB"/>
        </w:rPr>
        <w:t xml:space="preserve">Down the rabbit hole: The madness of state film incentives as a “solution” to runaway production. </w:t>
      </w:r>
      <w:r w:rsidRPr="003E056B">
        <w:rPr>
          <w:i/>
          <w:iCs/>
          <w:sz w:val="20"/>
          <w:szCs w:val="20"/>
          <w:lang w:val="en-GB"/>
        </w:rPr>
        <w:t>University of Pennsylvania Journal of Business Law</w:t>
      </w:r>
      <w:r w:rsidRPr="003E056B">
        <w:rPr>
          <w:sz w:val="20"/>
          <w:szCs w:val="20"/>
          <w:lang w:val="en-GB"/>
        </w:rPr>
        <w:t xml:space="preserve">, </w:t>
      </w:r>
      <w:r w:rsidRPr="003E056B">
        <w:rPr>
          <w:i/>
          <w:iCs/>
          <w:sz w:val="20"/>
          <w:szCs w:val="20"/>
          <w:lang w:val="en-GB"/>
        </w:rPr>
        <w:t>14</w:t>
      </w:r>
      <w:r w:rsidRPr="003E056B">
        <w:rPr>
          <w:sz w:val="20"/>
          <w:szCs w:val="20"/>
          <w:lang w:val="en-GB"/>
        </w:rPr>
        <w:t xml:space="preserve">(1), 101-181. </w:t>
      </w:r>
      <w:hyperlink r:id="rId53">
        <w:r w:rsidRPr="003E056B">
          <w:rPr>
            <w:color w:val="0000FF"/>
            <w:sz w:val="20"/>
            <w:szCs w:val="20"/>
            <w:u w:val="single"/>
            <w:lang w:val="en-GB"/>
          </w:rPr>
          <w:t>https://ssrn.com/abstract=1495091</w:t>
        </w:r>
      </w:hyperlink>
      <w:r w:rsidRPr="003E056B">
        <w:rPr>
          <w:sz w:val="20"/>
          <w:szCs w:val="20"/>
          <w:lang w:val="en-GB"/>
        </w:rPr>
        <w:t xml:space="preserve"> </w:t>
      </w:r>
    </w:p>
    <w:p w14:paraId="0D5444BD" w14:textId="77777777" w:rsidR="00836639" w:rsidRDefault="00000000">
      <w:pPr>
        <w:widowControl/>
        <w:pBdr>
          <w:top w:val="nil"/>
          <w:left w:val="nil"/>
          <w:bottom w:val="nil"/>
          <w:right w:val="nil"/>
          <w:between w:val="nil"/>
        </w:pBdr>
        <w:spacing w:after="80"/>
        <w:ind w:left="426" w:right="370"/>
        <w:jc w:val="both"/>
        <w:rPr>
          <w:sz w:val="20"/>
          <w:szCs w:val="20"/>
        </w:rPr>
      </w:pPr>
      <w:r w:rsidRPr="003E056B">
        <w:rPr>
          <w:sz w:val="20"/>
          <w:szCs w:val="20"/>
          <w:lang w:val="en-GB"/>
        </w:rPr>
        <w:t xml:space="preserve">Medel, A., &amp; Gossel, B. (2015). Film industry clusters: A strategy for urban and regional development? </w:t>
      </w:r>
      <w:r>
        <w:rPr>
          <w:i/>
          <w:iCs/>
          <w:sz w:val="20"/>
          <w:szCs w:val="20"/>
        </w:rPr>
        <w:t>Austral Comunicación, 4</w:t>
      </w:r>
      <w:r>
        <w:rPr>
          <w:sz w:val="20"/>
          <w:szCs w:val="20"/>
        </w:rPr>
        <w:t xml:space="preserve">(1), 65-81. </w:t>
      </w:r>
      <w:hyperlink r:id="rId54">
        <w:r>
          <w:rPr>
            <w:color w:val="0000FF"/>
            <w:sz w:val="20"/>
            <w:szCs w:val="20"/>
            <w:u w:val="single"/>
          </w:rPr>
          <w:t>https://www.db-thueringen.de/servlets/MCRFileNodeServlet/dbt_derivate_00031953/AustralComm_2313-9137_4_2015_1_65-81.pdf</w:t>
        </w:r>
      </w:hyperlink>
      <w:r>
        <w:rPr>
          <w:sz w:val="20"/>
          <w:szCs w:val="20"/>
        </w:rPr>
        <w:t xml:space="preserve"> </w:t>
      </w:r>
    </w:p>
    <w:p w14:paraId="74DDCFA3" w14:textId="77777777" w:rsidR="00836639" w:rsidRDefault="00000000">
      <w:pPr>
        <w:widowControl/>
        <w:pBdr>
          <w:top w:val="nil"/>
          <w:left w:val="nil"/>
          <w:bottom w:val="nil"/>
          <w:right w:val="nil"/>
          <w:between w:val="nil"/>
        </w:pBdr>
        <w:spacing w:after="80"/>
        <w:ind w:left="426" w:right="370"/>
        <w:jc w:val="both"/>
        <w:rPr>
          <w:sz w:val="20"/>
          <w:szCs w:val="20"/>
        </w:rPr>
      </w:pPr>
      <w:r>
        <w:rPr>
          <w:sz w:val="20"/>
          <w:szCs w:val="20"/>
        </w:rPr>
        <w:t xml:space="preserve">Media </w:t>
      </w:r>
      <w:proofErr w:type="spellStart"/>
      <w:r>
        <w:rPr>
          <w:sz w:val="20"/>
          <w:szCs w:val="20"/>
        </w:rPr>
        <w:t>Research</w:t>
      </w:r>
      <w:proofErr w:type="spellEnd"/>
      <w:r>
        <w:rPr>
          <w:sz w:val="20"/>
          <w:szCs w:val="20"/>
        </w:rPr>
        <w:t xml:space="preserve"> &amp; </w:t>
      </w:r>
      <w:proofErr w:type="spellStart"/>
      <w:r>
        <w:rPr>
          <w:sz w:val="20"/>
          <w:szCs w:val="20"/>
        </w:rPr>
        <w:t>Consultancy</w:t>
      </w:r>
      <w:proofErr w:type="spellEnd"/>
      <w:r>
        <w:rPr>
          <w:sz w:val="20"/>
          <w:szCs w:val="20"/>
        </w:rPr>
        <w:t xml:space="preserve">. (2012). </w:t>
      </w:r>
      <w:r>
        <w:rPr>
          <w:i/>
          <w:iCs/>
          <w:sz w:val="20"/>
          <w:szCs w:val="20"/>
        </w:rPr>
        <w:t>El impacto económico de los rodajes en España y los incentivos fiscales en Europa</w:t>
      </w:r>
      <w:r>
        <w:rPr>
          <w:sz w:val="20"/>
          <w:szCs w:val="20"/>
        </w:rPr>
        <w:t xml:space="preserve">. </w:t>
      </w:r>
      <w:hyperlink r:id="rId55">
        <w:r>
          <w:rPr>
            <w:color w:val="0000FF"/>
            <w:sz w:val="20"/>
            <w:szCs w:val="20"/>
            <w:u w:val="single"/>
          </w:rPr>
          <w:t>https://www.asociacionappa.es/wp-content/uploads/2016/07/Estudio-Impacto-Eco_002.pdf</w:t>
        </w:r>
      </w:hyperlink>
      <w:r>
        <w:rPr>
          <w:sz w:val="20"/>
          <w:szCs w:val="20"/>
        </w:rPr>
        <w:t xml:space="preserve"> </w:t>
      </w:r>
    </w:p>
    <w:p w14:paraId="7C739D44" w14:textId="77777777" w:rsidR="00836639" w:rsidRDefault="00000000">
      <w:pPr>
        <w:widowControl/>
        <w:pBdr>
          <w:top w:val="nil"/>
          <w:left w:val="nil"/>
          <w:bottom w:val="nil"/>
          <w:right w:val="nil"/>
          <w:between w:val="nil"/>
        </w:pBdr>
        <w:spacing w:after="80"/>
        <w:ind w:left="426" w:right="370"/>
        <w:jc w:val="both"/>
        <w:rPr>
          <w:sz w:val="20"/>
          <w:szCs w:val="20"/>
        </w:rPr>
      </w:pPr>
      <w:r w:rsidRPr="003E056B">
        <w:rPr>
          <w:sz w:val="20"/>
          <w:szCs w:val="20"/>
          <w:lang w:val="en-GB"/>
        </w:rPr>
        <w:t xml:space="preserve">Organisation for Economic Co-operation and Development (2025). </w:t>
      </w:r>
      <w:r w:rsidRPr="003E056B">
        <w:rPr>
          <w:i/>
          <w:iCs/>
          <w:sz w:val="20"/>
          <w:szCs w:val="20"/>
          <w:lang w:val="en-GB"/>
        </w:rPr>
        <w:t>The soft infrastructure of place transformation</w:t>
      </w:r>
      <w:r w:rsidRPr="003E056B">
        <w:rPr>
          <w:sz w:val="20"/>
          <w:szCs w:val="20"/>
          <w:lang w:val="en-GB"/>
        </w:rPr>
        <w:t xml:space="preserve">. </w:t>
      </w:r>
      <w:hyperlink r:id="rId56">
        <w:r>
          <w:rPr>
            <w:color w:val="0000FF"/>
            <w:sz w:val="20"/>
            <w:szCs w:val="20"/>
            <w:u w:val="single"/>
          </w:rPr>
          <w:t>https://www.oecd.org/en/about/projects/the-soft-infrastructure-of-place-transformation.html</w:t>
        </w:r>
      </w:hyperlink>
      <w:r>
        <w:rPr>
          <w:sz w:val="20"/>
          <w:szCs w:val="20"/>
        </w:rPr>
        <w:t xml:space="preserve"> </w:t>
      </w:r>
    </w:p>
    <w:p w14:paraId="7A65400C"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Pr>
          <w:sz w:val="20"/>
          <w:szCs w:val="20"/>
        </w:rPr>
        <w:t xml:space="preserve">Palmi, P., Caputo, F., &amp; </w:t>
      </w:r>
      <w:proofErr w:type="gramStart"/>
      <w:r>
        <w:rPr>
          <w:sz w:val="20"/>
          <w:szCs w:val="20"/>
        </w:rPr>
        <w:t>Turco</w:t>
      </w:r>
      <w:proofErr w:type="gramEnd"/>
      <w:r>
        <w:rPr>
          <w:sz w:val="20"/>
          <w:szCs w:val="20"/>
        </w:rPr>
        <w:t xml:space="preserve">, M. (2016). </w:t>
      </w:r>
      <w:r w:rsidRPr="003E056B">
        <w:rPr>
          <w:sz w:val="20"/>
          <w:szCs w:val="20"/>
          <w:lang w:val="en-GB"/>
        </w:rPr>
        <w:t xml:space="preserve">Changing movie! Film Commissions as drivers for creative film industries. </w:t>
      </w:r>
      <w:r w:rsidRPr="003E056B">
        <w:rPr>
          <w:i/>
          <w:iCs/>
          <w:sz w:val="20"/>
          <w:szCs w:val="20"/>
          <w:lang w:val="en-GB"/>
        </w:rPr>
        <w:t>ENCATC Journal of Cultural Management &amp; Policy, 6</w:t>
      </w:r>
      <w:r w:rsidRPr="003E056B">
        <w:rPr>
          <w:sz w:val="20"/>
          <w:szCs w:val="20"/>
          <w:lang w:val="en-GB"/>
        </w:rPr>
        <w:t xml:space="preserve">(1), 57-71. </w:t>
      </w:r>
      <w:hyperlink r:id="rId57">
        <w:r w:rsidRPr="003E056B">
          <w:rPr>
            <w:color w:val="0000FF"/>
            <w:sz w:val="20"/>
            <w:szCs w:val="20"/>
            <w:u w:val="single"/>
            <w:lang w:val="en-GB"/>
          </w:rPr>
          <w:t>https://doi.org/10.3389/ejcmp.2023.v6iss1-article-5</w:t>
        </w:r>
      </w:hyperlink>
      <w:r w:rsidRPr="003E056B">
        <w:rPr>
          <w:sz w:val="20"/>
          <w:szCs w:val="20"/>
          <w:lang w:val="en-GB"/>
        </w:rPr>
        <w:t xml:space="preserve"> </w:t>
      </w:r>
    </w:p>
    <w:p w14:paraId="1957006D"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proofErr w:type="spellStart"/>
      <w:r w:rsidRPr="003E056B">
        <w:rPr>
          <w:sz w:val="20"/>
          <w:szCs w:val="20"/>
          <w:lang w:val="en-GB"/>
        </w:rPr>
        <w:t>Peñíscola</w:t>
      </w:r>
      <w:proofErr w:type="spellEnd"/>
      <w:r w:rsidRPr="003E056B">
        <w:rPr>
          <w:sz w:val="20"/>
          <w:szCs w:val="20"/>
          <w:lang w:val="en-GB"/>
        </w:rPr>
        <w:t xml:space="preserve"> Turismo. (2025). </w:t>
      </w:r>
      <w:proofErr w:type="spellStart"/>
      <w:r w:rsidRPr="003E056B">
        <w:rPr>
          <w:i/>
          <w:iCs/>
          <w:sz w:val="20"/>
          <w:szCs w:val="20"/>
          <w:lang w:val="en-GB"/>
        </w:rPr>
        <w:t>Oficina</w:t>
      </w:r>
      <w:proofErr w:type="spellEnd"/>
      <w:r w:rsidRPr="003E056B">
        <w:rPr>
          <w:i/>
          <w:iCs/>
          <w:sz w:val="20"/>
          <w:szCs w:val="20"/>
          <w:lang w:val="en-GB"/>
        </w:rPr>
        <w:t xml:space="preserve"> de </w:t>
      </w:r>
      <w:proofErr w:type="spellStart"/>
      <w:r w:rsidRPr="003E056B">
        <w:rPr>
          <w:i/>
          <w:iCs/>
          <w:sz w:val="20"/>
          <w:szCs w:val="20"/>
          <w:lang w:val="en-GB"/>
        </w:rPr>
        <w:t>rodajes</w:t>
      </w:r>
      <w:proofErr w:type="spellEnd"/>
      <w:r w:rsidRPr="003E056B">
        <w:rPr>
          <w:sz w:val="20"/>
          <w:szCs w:val="20"/>
          <w:lang w:val="en-GB"/>
        </w:rPr>
        <w:t xml:space="preserve">. </w:t>
      </w:r>
      <w:hyperlink r:id="rId58">
        <w:r w:rsidRPr="003E056B">
          <w:rPr>
            <w:color w:val="0000FF"/>
            <w:sz w:val="20"/>
            <w:szCs w:val="20"/>
            <w:u w:val="single"/>
            <w:lang w:val="en-GB"/>
          </w:rPr>
          <w:t>https://peniscola.es/film-office/</w:t>
        </w:r>
      </w:hyperlink>
      <w:r w:rsidRPr="003E056B">
        <w:rPr>
          <w:sz w:val="20"/>
          <w:szCs w:val="20"/>
          <w:lang w:val="en-GB"/>
        </w:rPr>
        <w:t xml:space="preserve"> </w:t>
      </w:r>
    </w:p>
    <w:p w14:paraId="39B81703" w14:textId="77777777" w:rsidR="00836639" w:rsidRPr="003E056B" w:rsidRDefault="00000000">
      <w:pPr>
        <w:widowControl/>
        <w:pBdr>
          <w:top w:val="nil"/>
          <w:left w:val="nil"/>
          <w:bottom w:val="nil"/>
          <w:right w:val="nil"/>
          <w:between w:val="nil"/>
        </w:pBdr>
        <w:spacing w:after="80"/>
        <w:ind w:left="426" w:right="370"/>
        <w:jc w:val="both"/>
        <w:rPr>
          <w:sz w:val="20"/>
          <w:szCs w:val="20"/>
          <w:lang w:val="en-GB"/>
        </w:rPr>
      </w:pPr>
      <w:r w:rsidRPr="003E056B">
        <w:rPr>
          <w:sz w:val="20"/>
          <w:szCs w:val="20"/>
          <w:lang w:val="en-GB"/>
        </w:rPr>
        <w:t xml:space="preserve">Pollard, R. B. (2016). “Cut-And That’s a Wrap”-The Film Industry’s Fleecing of State Tax Incentive Programs. </w:t>
      </w:r>
      <w:r w:rsidRPr="003E056B">
        <w:rPr>
          <w:i/>
          <w:iCs/>
          <w:sz w:val="20"/>
          <w:szCs w:val="20"/>
          <w:lang w:val="en-GB"/>
        </w:rPr>
        <w:t>Akron Law Review, 50</w:t>
      </w:r>
      <w:r w:rsidRPr="003E056B">
        <w:rPr>
          <w:sz w:val="20"/>
          <w:szCs w:val="20"/>
          <w:lang w:val="en-GB"/>
        </w:rPr>
        <w:t xml:space="preserve">(3), 425-450. </w:t>
      </w:r>
      <w:hyperlink r:id="rId59">
        <w:r w:rsidRPr="003E056B">
          <w:rPr>
            <w:color w:val="0000FF"/>
            <w:sz w:val="20"/>
            <w:szCs w:val="20"/>
            <w:u w:val="single"/>
            <w:lang w:val="en-GB"/>
          </w:rPr>
          <w:t>https://scholarlycommons.law.wlu.edu/cgi/viewcontent.cgi?article=1700&amp;context=wlufac</w:t>
        </w:r>
      </w:hyperlink>
      <w:r w:rsidRPr="003E056B">
        <w:rPr>
          <w:sz w:val="20"/>
          <w:szCs w:val="20"/>
          <w:lang w:val="en-GB"/>
        </w:rPr>
        <w:t xml:space="preserve"> </w:t>
      </w:r>
    </w:p>
    <w:p w14:paraId="66579784" w14:textId="77777777" w:rsidR="00836639" w:rsidRDefault="00000000">
      <w:pPr>
        <w:widowControl/>
        <w:pBdr>
          <w:top w:val="nil"/>
          <w:left w:val="nil"/>
          <w:bottom w:val="nil"/>
          <w:right w:val="nil"/>
          <w:between w:val="nil"/>
        </w:pBdr>
        <w:spacing w:after="80"/>
        <w:ind w:left="426" w:right="370"/>
        <w:jc w:val="both"/>
        <w:rPr>
          <w:sz w:val="20"/>
          <w:szCs w:val="20"/>
        </w:rPr>
      </w:pPr>
      <w:r>
        <w:rPr>
          <w:sz w:val="20"/>
          <w:szCs w:val="20"/>
        </w:rPr>
        <w:t xml:space="preserve">Portal Disney. (24 de marzo de 2020). Disney+ ya disponible oficialmente en España. </w:t>
      </w:r>
      <w:r>
        <w:rPr>
          <w:i/>
          <w:iCs/>
          <w:sz w:val="20"/>
          <w:szCs w:val="20"/>
        </w:rPr>
        <w:t>Portal Disney</w:t>
      </w:r>
      <w:r>
        <w:rPr>
          <w:sz w:val="20"/>
          <w:szCs w:val="20"/>
        </w:rPr>
        <w:t xml:space="preserve">. </w:t>
      </w:r>
      <w:hyperlink r:id="rId60">
        <w:r>
          <w:rPr>
            <w:color w:val="0000FF"/>
            <w:sz w:val="20"/>
            <w:szCs w:val="20"/>
            <w:u w:val="single"/>
          </w:rPr>
          <w:t>https://www.portal-disney.com/2020/03/disney-ya-disponible-oficialmente-en.html</w:t>
        </w:r>
      </w:hyperlink>
      <w:r>
        <w:rPr>
          <w:sz w:val="20"/>
          <w:szCs w:val="20"/>
        </w:rPr>
        <w:t xml:space="preserve"> </w:t>
      </w:r>
    </w:p>
    <w:p w14:paraId="495CA374" w14:textId="77777777" w:rsidR="00836639" w:rsidRDefault="00000000">
      <w:pPr>
        <w:widowControl/>
        <w:pBdr>
          <w:top w:val="nil"/>
          <w:left w:val="nil"/>
          <w:bottom w:val="nil"/>
          <w:right w:val="nil"/>
          <w:between w:val="nil"/>
        </w:pBdr>
        <w:spacing w:after="80"/>
        <w:ind w:left="426" w:right="370"/>
        <w:jc w:val="both"/>
        <w:rPr>
          <w:sz w:val="20"/>
          <w:szCs w:val="20"/>
        </w:rPr>
      </w:pPr>
      <w:r>
        <w:rPr>
          <w:sz w:val="20"/>
          <w:szCs w:val="20"/>
        </w:rPr>
        <w:t xml:space="preserve">Presidencia de la Generalitat. (2013). </w:t>
      </w:r>
      <w:r>
        <w:rPr>
          <w:i/>
          <w:iCs/>
          <w:sz w:val="20"/>
          <w:szCs w:val="20"/>
        </w:rPr>
        <w:t>Ley 4/2013, de 27 de noviembre, de supresión de la prestación de los servicios de radiodifusión y televisión de ámbito autonómico, de titularidad de la Generalitat, así como de disolución y liquidación de Radiotelevisión Valenciana, SAU</w:t>
      </w:r>
      <w:r>
        <w:rPr>
          <w:sz w:val="20"/>
          <w:szCs w:val="20"/>
        </w:rPr>
        <w:t xml:space="preserve">. Diari Oficial de la </w:t>
      </w:r>
      <w:proofErr w:type="spellStart"/>
      <w:r>
        <w:rPr>
          <w:sz w:val="20"/>
          <w:szCs w:val="20"/>
        </w:rPr>
        <w:t>Comunitat</w:t>
      </w:r>
      <w:proofErr w:type="spellEnd"/>
      <w:r>
        <w:rPr>
          <w:sz w:val="20"/>
          <w:szCs w:val="20"/>
        </w:rPr>
        <w:t xml:space="preserve"> Valenciana, núm. 7161 bis (27 de noviembre de 2013). </w:t>
      </w:r>
      <w:hyperlink r:id="rId61">
        <w:r>
          <w:rPr>
            <w:color w:val="0000FF"/>
            <w:sz w:val="20"/>
            <w:szCs w:val="20"/>
            <w:u w:val="single"/>
          </w:rPr>
          <w:t>https://dogv.gva.es/datos/2013/11/27/pdf/docv_7161bis.pdf</w:t>
        </w:r>
      </w:hyperlink>
      <w:r>
        <w:rPr>
          <w:sz w:val="20"/>
          <w:szCs w:val="20"/>
        </w:rPr>
        <w:t xml:space="preserve"> </w:t>
      </w:r>
    </w:p>
    <w:p w14:paraId="01F786B1" w14:textId="77777777" w:rsidR="00836639" w:rsidRDefault="00000000">
      <w:pPr>
        <w:widowControl/>
        <w:pBdr>
          <w:top w:val="nil"/>
          <w:left w:val="nil"/>
          <w:bottom w:val="nil"/>
          <w:right w:val="nil"/>
          <w:between w:val="nil"/>
        </w:pBdr>
        <w:spacing w:after="80"/>
        <w:ind w:left="426" w:right="370"/>
        <w:jc w:val="both"/>
        <w:rPr>
          <w:sz w:val="20"/>
          <w:szCs w:val="20"/>
        </w:rPr>
      </w:pPr>
      <w:r>
        <w:rPr>
          <w:sz w:val="20"/>
          <w:szCs w:val="20"/>
        </w:rPr>
        <w:t xml:space="preserve">Presidencia de la Generalitat. (2018). </w:t>
      </w:r>
      <w:r>
        <w:rPr>
          <w:i/>
          <w:iCs/>
          <w:sz w:val="20"/>
          <w:szCs w:val="20"/>
        </w:rPr>
        <w:t xml:space="preserve">Contrato programa entre el Consell y la </w:t>
      </w:r>
      <w:proofErr w:type="spellStart"/>
      <w:r>
        <w:rPr>
          <w:i/>
          <w:iCs/>
          <w:sz w:val="20"/>
          <w:szCs w:val="20"/>
        </w:rPr>
        <w:t>Corporació</w:t>
      </w:r>
      <w:proofErr w:type="spellEnd"/>
      <w:r>
        <w:rPr>
          <w:i/>
          <w:iCs/>
          <w:sz w:val="20"/>
          <w:szCs w:val="20"/>
        </w:rPr>
        <w:t xml:space="preserve"> Valenciana de Mitjans de </w:t>
      </w:r>
      <w:proofErr w:type="spellStart"/>
      <w:r>
        <w:rPr>
          <w:i/>
          <w:iCs/>
          <w:sz w:val="20"/>
          <w:szCs w:val="20"/>
        </w:rPr>
        <w:t>Comunicació</w:t>
      </w:r>
      <w:proofErr w:type="spellEnd"/>
      <w:r>
        <w:rPr>
          <w:i/>
          <w:iCs/>
          <w:sz w:val="20"/>
          <w:szCs w:val="20"/>
        </w:rPr>
        <w:t xml:space="preserve"> para el período 2018-2020</w:t>
      </w:r>
      <w:r>
        <w:rPr>
          <w:sz w:val="20"/>
          <w:szCs w:val="20"/>
        </w:rPr>
        <w:t xml:space="preserve">. Diari Oficial de la </w:t>
      </w:r>
      <w:proofErr w:type="spellStart"/>
      <w:r>
        <w:rPr>
          <w:sz w:val="20"/>
          <w:szCs w:val="20"/>
        </w:rPr>
        <w:t>Comunitat</w:t>
      </w:r>
      <w:proofErr w:type="spellEnd"/>
      <w:r>
        <w:rPr>
          <w:sz w:val="20"/>
          <w:szCs w:val="20"/>
        </w:rPr>
        <w:t xml:space="preserve"> Valenciana, núm. 8312 (7 de junio de 2018). </w:t>
      </w:r>
      <w:hyperlink r:id="rId62">
        <w:r>
          <w:rPr>
            <w:color w:val="0000FF"/>
            <w:sz w:val="20"/>
            <w:szCs w:val="20"/>
            <w:u w:val="single"/>
          </w:rPr>
          <w:t>https://dogv.gva.es/datos/2018/06/07/pdf/2018_5546.pdf</w:t>
        </w:r>
      </w:hyperlink>
      <w:r>
        <w:rPr>
          <w:sz w:val="20"/>
          <w:szCs w:val="20"/>
        </w:rPr>
        <w:t xml:space="preserve"> </w:t>
      </w:r>
    </w:p>
    <w:p w14:paraId="0FF6D6D9" w14:textId="77777777" w:rsidR="00836639" w:rsidRDefault="00000000">
      <w:pPr>
        <w:widowControl/>
        <w:pBdr>
          <w:top w:val="nil"/>
          <w:left w:val="nil"/>
          <w:bottom w:val="nil"/>
          <w:right w:val="nil"/>
          <w:between w:val="nil"/>
        </w:pBdr>
        <w:spacing w:after="80"/>
        <w:ind w:left="426" w:right="370"/>
        <w:jc w:val="both"/>
        <w:rPr>
          <w:sz w:val="20"/>
          <w:szCs w:val="20"/>
        </w:rPr>
      </w:pPr>
      <w:r>
        <w:rPr>
          <w:sz w:val="20"/>
          <w:szCs w:val="20"/>
        </w:rPr>
        <w:lastRenderedPageBreak/>
        <w:t xml:space="preserve">Presidencia de la Generalitat. (28 de diciembre de 2024). </w:t>
      </w:r>
      <w:r>
        <w:rPr>
          <w:i/>
          <w:iCs/>
          <w:sz w:val="20"/>
          <w:szCs w:val="20"/>
        </w:rPr>
        <w:t>Carlos Mazón: “Ciudad de la Luz cierra un año de cine con 14 producciones y un impacto económico de más de 60 millones de euros”</w:t>
      </w:r>
      <w:r>
        <w:rPr>
          <w:sz w:val="20"/>
          <w:szCs w:val="20"/>
        </w:rPr>
        <w:t xml:space="preserve">. Gabinete de prensa de la Generalitat Valenciana. </w:t>
      </w:r>
      <w:hyperlink r:id="rId63">
        <w:r>
          <w:rPr>
            <w:color w:val="0000FF"/>
            <w:sz w:val="20"/>
            <w:szCs w:val="20"/>
            <w:u w:val="single"/>
          </w:rPr>
          <w:t>https://comunica.gva.es/es/detalle?id=388798837&amp;site=373409432</w:t>
        </w:r>
      </w:hyperlink>
      <w:r>
        <w:rPr>
          <w:sz w:val="20"/>
          <w:szCs w:val="20"/>
        </w:rPr>
        <w:t xml:space="preserve"> </w:t>
      </w:r>
    </w:p>
    <w:p w14:paraId="0B9CEC33" w14:textId="77777777" w:rsidR="00836639" w:rsidRDefault="00000000">
      <w:pPr>
        <w:widowControl/>
        <w:pBdr>
          <w:top w:val="nil"/>
          <w:left w:val="nil"/>
          <w:bottom w:val="nil"/>
          <w:right w:val="nil"/>
          <w:between w:val="nil"/>
        </w:pBdr>
        <w:spacing w:after="80"/>
        <w:ind w:left="426" w:right="370"/>
        <w:jc w:val="both"/>
        <w:rPr>
          <w:sz w:val="20"/>
          <w:szCs w:val="20"/>
        </w:rPr>
      </w:pPr>
      <w:r>
        <w:rPr>
          <w:sz w:val="20"/>
          <w:szCs w:val="20"/>
        </w:rPr>
        <w:t xml:space="preserve">Radio y Televisión de Andalucía. (2025). </w:t>
      </w:r>
      <w:r>
        <w:rPr>
          <w:i/>
          <w:iCs/>
          <w:sz w:val="20"/>
          <w:szCs w:val="20"/>
        </w:rPr>
        <w:t>Canal Sur Produce</w:t>
      </w:r>
      <w:r>
        <w:rPr>
          <w:sz w:val="20"/>
          <w:szCs w:val="20"/>
        </w:rPr>
        <w:t xml:space="preserve">. Canal Sur. </w:t>
      </w:r>
      <w:hyperlink r:id="rId64">
        <w:r>
          <w:rPr>
            <w:color w:val="0000FF"/>
            <w:sz w:val="20"/>
            <w:szCs w:val="20"/>
            <w:u w:val="single"/>
          </w:rPr>
          <w:t>https://www.canalsur.es/Canal%20Sur%20Produce-4453.html</w:t>
        </w:r>
      </w:hyperlink>
      <w:r>
        <w:rPr>
          <w:sz w:val="20"/>
          <w:szCs w:val="20"/>
        </w:rPr>
        <w:t xml:space="preserve"> </w:t>
      </w:r>
    </w:p>
    <w:p w14:paraId="1E1E0ED6" w14:textId="77777777" w:rsidR="00836639" w:rsidRPr="003E056B" w:rsidRDefault="00000000">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rPr>
        <w:t xml:space="preserve">Rajas, M., Paz-Gil, I., &amp; Gértrudix-Barrio, M. (2025). Sostenibilidad </w:t>
      </w:r>
      <w:proofErr w:type="gramStart"/>
      <w:r>
        <w:rPr>
          <w:color w:val="231F20"/>
          <w:sz w:val="20"/>
          <w:szCs w:val="20"/>
        </w:rPr>
        <w:t>de las film</w:t>
      </w:r>
      <w:proofErr w:type="gramEnd"/>
      <w:r>
        <w:rPr>
          <w:color w:val="231F20"/>
          <w:sz w:val="20"/>
          <w:szCs w:val="20"/>
        </w:rPr>
        <w:t xml:space="preserve"> </w:t>
      </w:r>
      <w:proofErr w:type="spellStart"/>
      <w:r>
        <w:rPr>
          <w:color w:val="231F20"/>
          <w:sz w:val="20"/>
          <w:szCs w:val="20"/>
        </w:rPr>
        <w:t>commissions</w:t>
      </w:r>
      <w:proofErr w:type="spellEnd"/>
      <w:r>
        <w:rPr>
          <w:color w:val="231F20"/>
          <w:sz w:val="20"/>
          <w:szCs w:val="20"/>
        </w:rPr>
        <w:t xml:space="preserve">: análisis de medidas medioambientales, económicas y sociales para una producción audiovisual sostenible. </w:t>
      </w:r>
      <w:r w:rsidRPr="003E056B">
        <w:rPr>
          <w:i/>
          <w:iCs/>
          <w:color w:val="231F20"/>
          <w:sz w:val="20"/>
          <w:szCs w:val="20"/>
          <w:lang w:val="en-GB"/>
        </w:rPr>
        <w:t>Street Art &amp; Urban Creativity</w:t>
      </w:r>
      <w:r w:rsidRPr="003E056B">
        <w:rPr>
          <w:color w:val="231F20"/>
          <w:sz w:val="20"/>
          <w:szCs w:val="20"/>
          <w:lang w:val="en-GB"/>
        </w:rPr>
        <w:t xml:space="preserve">, 11(4), 171-191. </w:t>
      </w:r>
      <w:hyperlink r:id="rId65">
        <w:r w:rsidRPr="003E056B">
          <w:rPr>
            <w:color w:val="0000FF"/>
            <w:sz w:val="20"/>
            <w:szCs w:val="20"/>
            <w:u w:val="single"/>
            <w:lang w:val="en-GB"/>
          </w:rPr>
          <w:t>https://doi.org/10.62161/sauc.v11.5726</w:t>
        </w:r>
      </w:hyperlink>
      <w:r w:rsidRPr="003E056B">
        <w:rPr>
          <w:color w:val="231F20"/>
          <w:sz w:val="20"/>
          <w:szCs w:val="20"/>
          <w:lang w:val="en-GB"/>
        </w:rPr>
        <w:t xml:space="preserve">  </w:t>
      </w:r>
    </w:p>
    <w:p w14:paraId="022BE4F6" w14:textId="77777777" w:rsidR="00836639" w:rsidRDefault="00000000">
      <w:pPr>
        <w:widowControl/>
        <w:pBdr>
          <w:top w:val="nil"/>
          <w:left w:val="nil"/>
          <w:bottom w:val="nil"/>
          <w:right w:val="nil"/>
          <w:between w:val="nil"/>
        </w:pBdr>
        <w:spacing w:after="80"/>
        <w:ind w:left="426" w:right="370"/>
        <w:jc w:val="both"/>
        <w:rPr>
          <w:color w:val="231F20"/>
          <w:sz w:val="20"/>
          <w:szCs w:val="20"/>
        </w:rPr>
      </w:pPr>
      <w:r w:rsidRPr="003E056B">
        <w:rPr>
          <w:color w:val="231F20"/>
          <w:sz w:val="20"/>
          <w:szCs w:val="20"/>
          <w:lang w:val="en-GB"/>
        </w:rPr>
        <w:t xml:space="preserve">Rasmussen, N. V. (2024). Friction in the Netflix machine: How screen workers interact with streaming data. </w:t>
      </w:r>
      <w:r>
        <w:rPr>
          <w:i/>
          <w:iCs/>
          <w:color w:val="231F20"/>
          <w:sz w:val="20"/>
          <w:szCs w:val="20"/>
        </w:rPr>
        <w:t xml:space="preserve">New Media &amp; </w:t>
      </w:r>
      <w:proofErr w:type="spellStart"/>
      <w:r>
        <w:rPr>
          <w:i/>
          <w:iCs/>
          <w:color w:val="231F20"/>
          <w:sz w:val="20"/>
          <w:szCs w:val="20"/>
        </w:rPr>
        <w:t>Society</w:t>
      </w:r>
      <w:proofErr w:type="spellEnd"/>
      <w:r>
        <w:rPr>
          <w:color w:val="231F20"/>
          <w:sz w:val="20"/>
          <w:szCs w:val="20"/>
        </w:rPr>
        <w:t xml:space="preserve">, 27(9), 1-17. </w:t>
      </w:r>
      <w:hyperlink r:id="rId66">
        <w:r>
          <w:rPr>
            <w:color w:val="0000FF"/>
            <w:sz w:val="20"/>
            <w:szCs w:val="20"/>
            <w:u w:val="single"/>
          </w:rPr>
          <w:t>https://doi.org/10.1177/14614448241250029</w:t>
        </w:r>
      </w:hyperlink>
      <w:r>
        <w:rPr>
          <w:color w:val="231F20"/>
          <w:sz w:val="20"/>
          <w:szCs w:val="20"/>
        </w:rPr>
        <w:t xml:space="preserve"> </w:t>
      </w:r>
    </w:p>
    <w:p w14:paraId="68FB7433" w14:textId="77777777" w:rsidR="00836639" w:rsidRPr="003E056B" w:rsidRDefault="00000000">
      <w:pPr>
        <w:widowControl/>
        <w:pBdr>
          <w:top w:val="nil"/>
          <w:left w:val="nil"/>
          <w:bottom w:val="nil"/>
          <w:right w:val="nil"/>
          <w:between w:val="nil"/>
        </w:pBdr>
        <w:spacing w:after="80"/>
        <w:ind w:left="426" w:right="370"/>
        <w:jc w:val="both"/>
        <w:rPr>
          <w:color w:val="231F20"/>
          <w:sz w:val="20"/>
          <w:szCs w:val="20"/>
          <w:lang w:val="en-GB"/>
        </w:rPr>
      </w:pPr>
      <w:proofErr w:type="spellStart"/>
      <w:r>
        <w:rPr>
          <w:color w:val="231F20"/>
          <w:sz w:val="20"/>
          <w:szCs w:val="20"/>
        </w:rPr>
        <w:t>Regidoria</w:t>
      </w:r>
      <w:proofErr w:type="spellEnd"/>
      <w:r>
        <w:rPr>
          <w:color w:val="231F20"/>
          <w:sz w:val="20"/>
          <w:szCs w:val="20"/>
        </w:rPr>
        <w:t xml:space="preserve"> </w:t>
      </w:r>
      <w:proofErr w:type="spellStart"/>
      <w:r>
        <w:rPr>
          <w:color w:val="231F20"/>
          <w:sz w:val="20"/>
          <w:szCs w:val="20"/>
        </w:rPr>
        <w:t>d'Hisenda</w:t>
      </w:r>
      <w:proofErr w:type="spellEnd"/>
      <w:r>
        <w:rPr>
          <w:color w:val="231F20"/>
          <w:sz w:val="20"/>
          <w:szCs w:val="20"/>
        </w:rPr>
        <w:t xml:space="preserve"> del ayuntamiento de Valencia. (29 de septiembre de 2021). </w:t>
      </w:r>
      <w:r>
        <w:rPr>
          <w:i/>
          <w:iCs/>
          <w:color w:val="231F20"/>
          <w:sz w:val="20"/>
          <w:szCs w:val="20"/>
        </w:rPr>
        <w:t>Ordenanza fiscal reguladora de las tasas por utilización privativa o aprovechamiento especial de bienes de dominio público municipal con mercancías, materiales de construcción, puestos, barracones, espectáculos y otras instalaciones análogas</w:t>
      </w:r>
      <w:r>
        <w:rPr>
          <w:color w:val="231F20"/>
          <w:sz w:val="20"/>
          <w:szCs w:val="20"/>
        </w:rPr>
        <w:t xml:space="preserve">. </w:t>
      </w:r>
      <w:hyperlink r:id="rId67">
        <w:r w:rsidRPr="003E056B">
          <w:rPr>
            <w:color w:val="0000FF"/>
            <w:sz w:val="20"/>
            <w:szCs w:val="20"/>
            <w:u w:val="single"/>
            <w:lang w:val="en-GB"/>
          </w:rPr>
          <w:t>https://sede.valencia.es/sede/descarga/doc/DOCUMENT_1_ORD0057_C</w:t>
        </w:r>
      </w:hyperlink>
      <w:r w:rsidRPr="003E056B">
        <w:rPr>
          <w:color w:val="231F20"/>
          <w:sz w:val="20"/>
          <w:szCs w:val="20"/>
          <w:lang w:val="en-GB"/>
        </w:rPr>
        <w:t xml:space="preserve"> </w:t>
      </w:r>
    </w:p>
    <w:p w14:paraId="11A5C9A2" w14:textId="77777777" w:rsidR="00836639" w:rsidRPr="003E056B" w:rsidRDefault="00000000">
      <w:pPr>
        <w:widowControl/>
        <w:pBdr>
          <w:top w:val="nil"/>
          <w:left w:val="nil"/>
          <w:bottom w:val="nil"/>
          <w:right w:val="nil"/>
          <w:between w:val="nil"/>
        </w:pBdr>
        <w:spacing w:after="80"/>
        <w:ind w:left="426" w:right="370"/>
        <w:jc w:val="both"/>
        <w:rPr>
          <w:color w:val="231F20"/>
          <w:sz w:val="20"/>
          <w:szCs w:val="20"/>
          <w:lang w:val="en-GB"/>
        </w:rPr>
      </w:pPr>
      <w:r w:rsidRPr="003E056B">
        <w:rPr>
          <w:color w:val="231F20"/>
          <w:sz w:val="20"/>
          <w:szCs w:val="20"/>
          <w:lang w:val="en-GB"/>
        </w:rPr>
        <w:t xml:space="preserve">Ridder, H. G. (2017). The theory contribution of case study research designs. </w:t>
      </w:r>
      <w:r w:rsidRPr="003E056B">
        <w:rPr>
          <w:i/>
          <w:iCs/>
          <w:color w:val="231F20"/>
          <w:sz w:val="20"/>
          <w:szCs w:val="20"/>
          <w:lang w:val="en-GB"/>
        </w:rPr>
        <w:t>Business Research</w:t>
      </w:r>
      <w:r w:rsidRPr="003E056B">
        <w:rPr>
          <w:color w:val="231F20"/>
          <w:sz w:val="20"/>
          <w:szCs w:val="20"/>
          <w:lang w:val="en-GB"/>
        </w:rPr>
        <w:t xml:space="preserve">, </w:t>
      </w:r>
      <w:r w:rsidRPr="003E056B">
        <w:rPr>
          <w:i/>
          <w:iCs/>
          <w:color w:val="231F20"/>
          <w:sz w:val="20"/>
          <w:szCs w:val="20"/>
          <w:lang w:val="en-GB"/>
        </w:rPr>
        <w:t>10</w:t>
      </w:r>
      <w:r w:rsidRPr="003E056B">
        <w:rPr>
          <w:color w:val="231F20"/>
          <w:sz w:val="20"/>
          <w:szCs w:val="20"/>
          <w:lang w:val="en-GB"/>
        </w:rPr>
        <w:t xml:space="preserve">, 281-305. </w:t>
      </w:r>
      <w:hyperlink r:id="rId68">
        <w:r w:rsidRPr="003E056B">
          <w:rPr>
            <w:color w:val="0000FF"/>
            <w:sz w:val="20"/>
            <w:szCs w:val="20"/>
            <w:u w:val="single"/>
            <w:lang w:val="en-GB"/>
          </w:rPr>
          <w:t>https://link.springer.com/article/10.1007/s40685-017-0045-z</w:t>
        </w:r>
      </w:hyperlink>
      <w:r w:rsidRPr="003E056B">
        <w:rPr>
          <w:color w:val="231F20"/>
          <w:sz w:val="20"/>
          <w:szCs w:val="20"/>
          <w:lang w:val="en-GB"/>
        </w:rPr>
        <w:t xml:space="preserve"> </w:t>
      </w:r>
    </w:p>
    <w:p w14:paraId="2035150F" w14:textId="77777777" w:rsidR="00836639" w:rsidRDefault="00000000">
      <w:pPr>
        <w:widowControl/>
        <w:pBdr>
          <w:top w:val="nil"/>
          <w:left w:val="nil"/>
          <w:bottom w:val="nil"/>
          <w:right w:val="nil"/>
          <w:between w:val="nil"/>
        </w:pBdr>
        <w:spacing w:after="80"/>
        <w:ind w:left="426" w:right="370"/>
        <w:jc w:val="both"/>
        <w:rPr>
          <w:color w:val="231F20"/>
          <w:sz w:val="20"/>
          <w:szCs w:val="20"/>
        </w:rPr>
      </w:pPr>
      <w:r w:rsidRPr="003E056B">
        <w:rPr>
          <w:color w:val="231F20"/>
          <w:sz w:val="20"/>
          <w:szCs w:val="20"/>
          <w:lang w:val="en-GB"/>
        </w:rPr>
        <w:t xml:space="preserve">Sevilla Film and Events. </w:t>
      </w:r>
      <w:r>
        <w:rPr>
          <w:color w:val="231F20"/>
          <w:sz w:val="20"/>
          <w:szCs w:val="20"/>
        </w:rPr>
        <w:t xml:space="preserve">(2025a). </w:t>
      </w:r>
      <w:r>
        <w:rPr>
          <w:i/>
          <w:iCs/>
          <w:color w:val="231F20"/>
          <w:sz w:val="20"/>
          <w:szCs w:val="20"/>
        </w:rPr>
        <w:t>Solicitud de ocupación de vía pública para el rodaje de productos audiovisuales</w:t>
      </w:r>
      <w:r>
        <w:rPr>
          <w:color w:val="231F20"/>
          <w:sz w:val="20"/>
          <w:szCs w:val="20"/>
        </w:rPr>
        <w:t xml:space="preserve">. </w:t>
      </w:r>
      <w:hyperlink r:id="rId69">
        <w:r>
          <w:rPr>
            <w:color w:val="0000FF"/>
            <w:sz w:val="20"/>
            <w:szCs w:val="20"/>
            <w:u w:val="single"/>
          </w:rPr>
          <w:t>https://sevillafilmandevents.com/solicitud-de-ocupacion-de-via-publica-para-el-rodaje-de-productos-audiovisuales/</w:t>
        </w:r>
      </w:hyperlink>
      <w:r>
        <w:rPr>
          <w:color w:val="231F20"/>
          <w:sz w:val="20"/>
          <w:szCs w:val="20"/>
        </w:rPr>
        <w:t xml:space="preserve"> </w:t>
      </w:r>
    </w:p>
    <w:p w14:paraId="2F75A5AF" w14:textId="77777777" w:rsidR="00836639" w:rsidRDefault="00000000">
      <w:pPr>
        <w:widowControl/>
        <w:pBdr>
          <w:top w:val="nil"/>
          <w:left w:val="nil"/>
          <w:bottom w:val="nil"/>
          <w:right w:val="nil"/>
          <w:between w:val="nil"/>
        </w:pBdr>
        <w:spacing w:after="80"/>
        <w:ind w:left="426" w:right="370"/>
        <w:jc w:val="both"/>
        <w:rPr>
          <w:color w:val="231F20"/>
          <w:sz w:val="20"/>
          <w:szCs w:val="20"/>
        </w:rPr>
      </w:pPr>
      <w:r w:rsidRPr="003E056B">
        <w:rPr>
          <w:color w:val="231F20"/>
          <w:sz w:val="20"/>
          <w:szCs w:val="20"/>
          <w:lang w:val="en-GB"/>
        </w:rPr>
        <w:t xml:space="preserve">Sevilla Film and Events. (2025b). </w:t>
      </w:r>
      <w:r>
        <w:rPr>
          <w:i/>
          <w:iCs/>
          <w:color w:val="231F20"/>
          <w:sz w:val="20"/>
          <w:szCs w:val="20"/>
        </w:rPr>
        <w:t>Guía de rodajes de Sevilla</w:t>
      </w:r>
      <w:r>
        <w:rPr>
          <w:color w:val="231F20"/>
          <w:sz w:val="20"/>
          <w:szCs w:val="20"/>
        </w:rPr>
        <w:t xml:space="preserve">. </w:t>
      </w:r>
      <w:hyperlink r:id="rId70">
        <w:r>
          <w:rPr>
            <w:color w:val="0000FF"/>
            <w:sz w:val="20"/>
            <w:szCs w:val="20"/>
            <w:u w:val="single"/>
          </w:rPr>
          <w:t>https://www.sevillafilmandevents.com/wp-content/uploads/2023/03/SevillaAndMe-Guia-de-rodaje.pdf</w:t>
        </w:r>
      </w:hyperlink>
      <w:r>
        <w:rPr>
          <w:color w:val="231F20"/>
          <w:sz w:val="20"/>
          <w:szCs w:val="20"/>
        </w:rPr>
        <w:t xml:space="preserve"> </w:t>
      </w:r>
    </w:p>
    <w:p w14:paraId="4F61FE1E" w14:textId="77777777" w:rsidR="00836639" w:rsidRDefault="00000000">
      <w:pPr>
        <w:widowControl/>
        <w:pBdr>
          <w:top w:val="nil"/>
          <w:left w:val="nil"/>
          <w:bottom w:val="nil"/>
          <w:right w:val="nil"/>
          <w:between w:val="nil"/>
        </w:pBdr>
        <w:spacing w:after="80"/>
        <w:ind w:left="426" w:right="370"/>
        <w:jc w:val="both"/>
        <w:rPr>
          <w:color w:val="231F20"/>
          <w:sz w:val="20"/>
          <w:szCs w:val="20"/>
        </w:rPr>
      </w:pPr>
      <w:r>
        <w:rPr>
          <w:color w:val="231F20"/>
          <w:sz w:val="20"/>
          <w:szCs w:val="20"/>
        </w:rPr>
        <w:t xml:space="preserve">Valencia Region Film. (2025). </w:t>
      </w:r>
      <w:r>
        <w:rPr>
          <w:i/>
          <w:iCs/>
          <w:color w:val="231F20"/>
          <w:sz w:val="20"/>
          <w:szCs w:val="20"/>
        </w:rPr>
        <w:t>Localizaciones</w:t>
      </w:r>
      <w:r>
        <w:rPr>
          <w:color w:val="231F20"/>
          <w:sz w:val="20"/>
          <w:szCs w:val="20"/>
        </w:rPr>
        <w:t xml:space="preserve">. </w:t>
      </w:r>
      <w:hyperlink r:id="rId71">
        <w:r>
          <w:rPr>
            <w:color w:val="0000FF"/>
            <w:sz w:val="20"/>
            <w:szCs w:val="20"/>
            <w:u w:val="single"/>
          </w:rPr>
          <w:t>https://valenciaregionfilm.com/localizaciones/</w:t>
        </w:r>
      </w:hyperlink>
      <w:r>
        <w:rPr>
          <w:color w:val="231F20"/>
          <w:sz w:val="20"/>
          <w:szCs w:val="20"/>
        </w:rPr>
        <w:t xml:space="preserve"> </w:t>
      </w:r>
    </w:p>
    <w:p w14:paraId="7D5EB30A" w14:textId="77777777" w:rsidR="00836639" w:rsidRPr="003E056B" w:rsidRDefault="00000000">
      <w:pPr>
        <w:widowControl/>
        <w:pBdr>
          <w:top w:val="nil"/>
          <w:left w:val="nil"/>
          <w:bottom w:val="nil"/>
          <w:right w:val="nil"/>
          <w:between w:val="nil"/>
        </w:pBdr>
        <w:spacing w:after="80"/>
        <w:ind w:left="426" w:right="370"/>
        <w:jc w:val="both"/>
        <w:rPr>
          <w:color w:val="231F20"/>
          <w:sz w:val="20"/>
          <w:szCs w:val="20"/>
          <w:lang w:val="en-GB"/>
        </w:rPr>
      </w:pPr>
      <w:r w:rsidRPr="003E056B">
        <w:rPr>
          <w:color w:val="231F20"/>
          <w:sz w:val="20"/>
          <w:szCs w:val="20"/>
          <w:lang w:val="en-GB"/>
        </w:rPr>
        <w:t xml:space="preserve">Vargas-Bianchi, L. (2025). Pattern matching analysis: Overview of its rationale and application in qualitative research. </w:t>
      </w:r>
      <w:r w:rsidRPr="003E056B">
        <w:rPr>
          <w:i/>
          <w:iCs/>
          <w:color w:val="231F20"/>
          <w:sz w:val="20"/>
          <w:szCs w:val="20"/>
          <w:lang w:val="en-GB"/>
        </w:rPr>
        <w:t>Methodological Innovations, 18</w:t>
      </w:r>
      <w:r w:rsidRPr="003E056B">
        <w:rPr>
          <w:color w:val="231F20"/>
          <w:sz w:val="20"/>
          <w:szCs w:val="20"/>
          <w:lang w:val="en-GB"/>
        </w:rPr>
        <w:t xml:space="preserve">(1), 66-75. </w:t>
      </w:r>
      <w:hyperlink r:id="rId72">
        <w:r w:rsidRPr="003E056B">
          <w:rPr>
            <w:color w:val="0000FF"/>
            <w:sz w:val="20"/>
            <w:szCs w:val="20"/>
            <w:u w:val="single"/>
            <w:lang w:val="en-GB"/>
          </w:rPr>
          <w:t>https://doi.org/10.1177/20597991251325451</w:t>
        </w:r>
      </w:hyperlink>
      <w:r w:rsidRPr="003E056B">
        <w:rPr>
          <w:color w:val="231F20"/>
          <w:sz w:val="20"/>
          <w:szCs w:val="20"/>
          <w:lang w:val="en-GB"/>
        </w:rPr>
        <w:t xml:space="preserve"> </w:t>
      </w:r>
    </w:p>
    <w:p w14:paraId="35078749" w14:textId="77777777" w:rsidR="00836639" w:rsidRPr="003E056B" w:rsidRDefault="00000000">
      <w:pPr>
        <w:widowControl/>
        <w:pBdr>
          <w:top w:val="nil"/>
          <w:left w:val="nil"/>
          <w:bottom w:val="nil"/>
          <w:right w:val="nil"/>
          <w:between w:val="nil"/>
        </w:pBdr>
        <w:spacing w:after="80"/>
        <w:ind w:left="426" w:right="370"/>
        <w:jc w:val="both"/>
        <w:rPr>
          <w:color w:val="231F20"/>
          <w:sz w:val="20"/>
          <w:szCs w:val="20"/>
          <w:lang w:val="en-GB"/>
        </w:rPr>
      </w:pPr>
      <w:r w:rsidRPr="003E056B">
        <w:rPr>
          <w:color w:val="231F20"/>
          <w:sz w:val="20"/>
          <w:szCs w:val="20"/>
          <w:lang w:val="en-GB"/>
        </w:rPr>
        <w:t xml:space="preserve">Vlassis, A. (2023). Why to regulate Netflix: the cross-national politics of the audiovisual media governance in the light of streaming platforms. </w:t>
      </w:r>
      <w:r w:rsidRPr="003E056B">
        <w:rPr>
          <w:i/>
          <w:iCs/>
          <w:color w:val="231F20"/>
          <w:sz w:val="20"/>
          <w:szCs w:val="20"/>
          <w:lang w:val="en-GB"/>
        </w:rPr>
        <w:t>Media, Culture &amp; Society</w:t>
      </w:r>
      <w:r w:rsidRPr="003E056B">
        <w:rPr>
          <w:color w:val="231F20"/>
          <w:sz w:val="20"/>
          <w:szCs w:val="20"/>
          <w:lang w:val="en-GB"/>
        </w:rPr>
        <w:t xml:space="preserve">, 45(7), 1511 - 1521. </w:t>
      </w:r>
      <w:hyperlink r:id="rId73">
        <w:r w:rsidRPr="003E056B">
          <w:rPr>
            <w:color w:val="0000FF"/>
            <w:sz w:val="20"/>
            <w:szCs w:val="20"/>
            <w:u w:val="single"/>
            <w:lang w:val="en-GB"/>
          </w:rPr>
          <w:t>https://doi.org/10.1177/01634437231182565</w:t>
        </w:r>
      </w:hyperlink>
      <w:r w:rsidRPr="003E056B">
        <w:rPr>
          <w:color w:val="231F20"/>
          <w:sz w:val="20"/>
          <w:szCs w:val="20"/>
          <w:lang w:val="en-GB"/>
        </w:rPr>
        <w:t xml:space="preserve"> </w:t>
      </w:r>
    </w:p>
    <w:p w14:paraId="7CDDD0B6" w14:textId="77777777" w:rsidR="00836639" w:rsidRPr="003E056B" w:rsidRDefault="00000000">
      <w:pPr>
        <w:widowControl/>
        <w:pBdr>
          <w:top w:val="nil"/>
          <w:left w:val="nil"/>
          <w:bottom w:val="nil"/>
          <w:right w:val="nil"/>
          <w:between w:val="nil"/>
        </w:pBdr>
        <w:spacing w:after="80"/>
        <w:ind w:left="426" w:right="370"/>
        <w:jc w:val="both"/>
        <w:rPr>
          <w:color w:val="231F20"/>
          <w:sz w:val="20"/>
          <w:szCs w:val="20"/>
          <w:lang w:val="en-GB"/>
        </w:rPr>
      </w:pPr>
      <w:r w:rsidRPr="003E056B">
        <w:rPr>
          <w:color w:val="231F20"/>
          <w:sz w:val="20"/>
          <w:szCs w:val="20"/>
          <w:lang w:val="en-GB"/>
        </w:rPr>
        <w:t xml:space="preserve">Yin, R. K. (2003). </w:t>
      </w:r>
      <w:r w:rsidRPr="003E056B">
        <w:rPr>
          <w:i/>
          <w:iCs/>
          <w:color w:val="231F20"/>
          <w:sz w:val="20"/>
          <w:szCs w:val="20"/>
          <w:lang w:val="en-GB"/>
        </w:rPr>
        <w:t>Case Study Research: Design and Methods</w:t>
      </w:r>
      <w:r w:rsidRPr="003E056B">
        <w:rPr>
          <w:color w:val="231F20"/>
          <w:sz w:val="20"/>
          <w:szCs w:val="20"/>
          <w:lang w:val="en-GB"/>
        </w:rPr>
        <w:t xml:space="preserve"> (3 ed., Vol. 5). Sage Publications. </w:t>
      </w:r>
      <w:hyperlink r:id="rId74">
        <w:r w:rsidRPr="003E056B">
          <w:rPr>
            <w:color w:val="0000FF"/>
            <w:sz w:val="20"/>
            <w:szCs w:val="20"/>
            <w:u w:val="single"/>
            <w:lang w:val="en-GB"/>
          </w:rPr>
          <w:t>https://iwansuharyanto.wordpress.com/wp-content/uploads/2013/04/robert_k-_yin_case_study_research_design_and_mebookfi-org.pdf</w:t>
        </w:r>
      </w:hyperlink>
      <w:r w:rsidRPr="003E056B">
        <w:rPr>
          <w:color w:val="231F20"/>
          <w:sz w:val="20"/>
          <w:szCs w:val="20"/>
          <w:lang w:val="en-GB"/>
        </w:rPr>
        <w:t xml:space="preserve"> </w:t>
      </w:r>
    </w:p>
    <w:p w14:paraId="649CC41C" w14:textId="77777777" w:rsidR="00836639" w:rsidRDefault="00000000">
      <w:pPr>
        <w:widowControl/>
        <w:pBdr>
          <w:top w:val="nil"/>
          <w:left w:val="nil"/>
          <w:bottom w:val="nil"/>
          <w:right w:val="nil"/>
          <w:between w:val="nil"/>
        </w:pBdr>
        <w:spacing w:after="80"/>
        <w:ind w:left="426" w:right="370"/>
        <w:jc w:val="both"/>
        <w:rPr>
          <w:color w:val="231F20"/>
          <w:sz w:val="20"/>
          <w:szCs w:val="20"/>
        </w:rPr>
      </w:pPr>
      <w:r w:rsidRPr="003E056B">
        <w:rPr>
          <w:color w:val="231F20"/>
          <w:sz w:val="20"/>
          <w:szCs w:val="20"/>
          <w:lang w:val="en-GB"/>
        </w:rPr>
        <w:t xml:space="preserve">Zheng, J. (2014). The impact of ‘creative industry clusters’ on cultural and creative industry development in Shanghai. </w:t>
      </w:r>
      <w:r>
        <w:rPr>
          <w:i/>
          <w:iCs/>
          <w:color w:val="231F20"/>
          <w:sz w:val="20"/>
          <w:szCs w:val="20"/>
        </w:rPr>
        <w:t xml:space="preserve">City, Culture and </w:t>
      </w:r>
      <w:proofErr w:type="spellStart"/>
      <w:r>
        <w:rPr>
          <w:i/>
          <w:iCs/>
          <w:color w:val="231F20"/>
          <w:sz w:val="20"/>
          <w:szCs w:val="20"/>
        </w:rPr>
        <w:t>Society</w:t>
      </w:r>
      <w:proofErr w:type="spellEnd"/>
      <w:r>
        <w:rPr>
          <w:i/>
          <w:iCs/>
          <w:color w:val="231F20"/>
          <w:sz w:val="20"/>
          <w:szCs w:val="20"/>
        </w:rPr>
        <w:t>, 5</w:t>
      </w:r>
      <w:r>
        <w:rPr>
          <w:color w:val="231F20"/>
          <w:sz w:val="20"/>
          <w:szCs w:val="20"/>
        </w:rPr>
        <w:t xml:space="preserve">(1), 9-22. </w:t>
      </w:r>
      <w:hyperlink r:id="rId75">
        <w:r>
          <w:rPr>
            <w:color w:val="0000FF"/>
            <w:sz w:val="20"/>
            <w:szCs w:val="20"/>
            <w:u w:val="single"/>
          </w:rPr>
          <w:t>https://doi.org/10.1016/j.ccs.2013.08.001</w:t>
        </w:r>
      </w:hyperlink>
      <w:r>
        <w:rPr>
          <w:color w:val="231F20"/>
          <w:sz w:val="20"/>
          <w:szCs w:val="20"/>
        </w:rPr>
        <w:t xml:space="preserve"> </w:t>
      </w:r>
    </w:p>
    <w:p w14:paraId="6D1C58E2" w14:textId="77777777" w:rsidR="00836639" w:rsidRDefault="00836639">
      <w:pPr>
        <w:widowControl/>
        <w:pBdr>
          <w:top w:val="nil"/>
          <w:left w:val="nil"/>
          <w:bottom w:val="nil"/>
          <w:right w:val="nil"/>
          <w:between w:val="nil"/>
        </w:pBdr>
        <w:spacing w:after="80"/>
        <w:ind w:right="370"/>
        <w:jc w:val="both"/>
        <w:rPr>
          <w:color w:val="231F20"/>
          <w:sz w:val="20"/>
          <w:szCs w:val="20"/>
        </w:rPr>
      </w:pPr>
    </w:p>
    <w:p w14:paraId="738AD9D3" w14:textId="77777777" w:rsidR="00836639" w:rsidRPr="003E056B" w:rsidRDefault="00000000">
      <w:pPr>
        <w:pStyle w:val="Ttulo1"/>
        <w:widowControl/>
        <w:numPr>
          <w:ilvl w:val="0"/>
          <w:numId w:val="1"/>
        </w:numPr>
        <w:spacing w:after="80"/>
        <w:rPr>
          <w:rFonts w:ascii="Garamond" w:eastAsia="Garamond" w:hAnsi="Garamond" w:cs="Garamond"/>
          <w:b/>
          <w:bCs/>
          <w:lang w:val="en-GB"/>
        </w:rPr>
      </w:pPr>
      <w:r w:rsidRPr="003E056B">
        <w:rPr>
          <w:rFonts w:ascii="Garamond" w:eastAsia="Garamond" w:hAnsi="Garamond" w:cs="Garamond"/>
          <w:b/>
          <w:bCs/>
          <w:color w:val="98361E"/>
          <w:lang w:val="en-GB"/>
        </w:rPr>
        <w:t>Appendix I. Bibliographic references for Table 1</w:t>
      </w:r>
    </w:p>
    <w:p w14:paraId="30D35A15" w14:textId="77777777" w:rsidR="00836639" w:rsidRPr="003E056B" w:rsidRDefault="00836639">
      <w:pPr>
        <w:pStyle w:val="Ttulo1"/>
        <w:widowControl/>
        <w:spacing w:after="80"/>
        <w:ind w:left="426"/>
        <w:rPr>
          <w:rFonts w:ascii="Garamond" w:eastAsia="Garamond" w:hAnsi="Garamond" w:cs="Garamond"/>
          <w:b/>
          <w:bCs/>
          <w:lang w:val="en-GB"/>
        </w:rPr>
      </w:pPr>
    </w:p>
    <w:tbl>
      <w:tblPr>
        <w:tblStyle w:val="a6"/>
        <w:tblW w:w="683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2"/>
        <w:gridCol w:w="3674"/>
        <w:gridCol w:w="2302"/>
      </w:tblGrid>
      <w:tr w:rsidR="00836639" w14:paraId="1C9DEAC3" w14:textId="77777777">
        <w:trPr>
          <w:tblHeader/>
        </w:trPr>
        <w:tc>
          <w:tcPr>
            <w:tcW w:w="862" w:type="dxa"/>
            <w:vAlign w:val="center"/>
          </w:tcPr>
          <w:p w14:paraId="373396CB" w14:textId="77777777" w:rsidR="00836639" w:rsidRDefault="00000000">
            <w:pPr>
              <w:widowControl/>
              <w:jc w:val="center"/>
              <w:rPr>
                <w:b/>
                <w:bCs/>
                <w:sz w:val="20"/>
                <w:szCs w:val="20"/>
              </w:rPr>
            </w:pPr>
            <w:r>
              <w:rPr>
                <w:b/>
                <w:bCs/>
                <w:sz w:val="20"/>
                <w:szCs w:val="20"/>
              </w:rPr>
              <w:lastRenderedPageBreak/>
              <w:t>País</w:t>
            </w:r>
          </w:p>
        </w:tc>
        <w:tc>
          <w:tcPr>
            <w:tcW w:w="3674" w:type="dxa"/>
            <w:vAlign w:val="center"/>
          </w:tcPr>
          <w:p w14:paraId="512CC84E" w14:textId="77777777" w:rsidR="00836639" w:rsidRDefault="00000000">
            <w:pPr>
              <w:widowControl/>
              <w:jc w:val="center"/>
              <w:rPr>
                <w:b/>
                <w:bCs/>
                <w:sz w:val="20"/>
                <w:szCs w:val="20"/>
              </w:rPr>
            </w:pPr>
            <w:r>
              <w:rPr>
                <w:b/>
                <w:bCs/>
                <w:sz w:val="20"/>
                <w:szCs w:val="20"/>
              </w:rPr>
              <w:t>Institución</w:t>
            </w:r>
          </w:p>
        </w:tc>
        <w:tc>
          <w:tcPr>
            <w:tcW w:w="2302" w:type="dxa"/>
            <w:vAlign w:val="center"/>
          </w:tcPr>
          <w:p w14:paraId="3E0D3B04" w14:textId="77777777" w:rsidR="00836639" w:rsidRDefault="00000000">
            <w:pPr>
              <w:widowControl/>
              <w:jc w:val="center"/>
              <w:rPr>
                <w:b/>
                <w:bCs/>
                <w:sz w:val="20"/>
                <w:szCs w:val="20"/>
              </w:rPr>
            </w:pPr>
            <w:r>
              <w:rPr>
                <w:b/>
                <w:bCs/>
                <w:sz w:val="20"/>
                <w:szCs w:val="20"/>
              </w:rPr>
              <w:t xml:space="preserve">Enlace web del </w:t>
            </w:r>
            <w:proofErr w:type="spellStart"/>
            <w:r>
              <w:rPr>
                <w:b/>
                <w:bCs/>
                <w:i/>
                <w:iCs/>
                <w:sz w:val="20"/>
                <w:szCs w:val="20"/>
              </w:rPr>
              <w:t>tax</w:t>
            </w:r>
            <w:proofErr w:type="spellEnd"/>
            <w:r>
              <w:rPr>
                <w:b/>
                <w:bCs/>
                <w:i/>
                <w:iCs/>
                <w:sz w:val="20"/>
                <w:szCs w:val="20"/>
              </w:rPr>
              <w:t xml:space="preserve"> rebate</w:t>
            </w:r>
            <w:r>
              <w:rPr>
                <w:b/>
                <w:bCs/>
                <w:sz w:val="20"/>
                <w:szCs w:val="20"/>
              </w:rPr>
              <w:t xml:space="preserve"> correspondiente</w:t>
            </w:r>
          </w:p>
        </w:tc>
      </w:tr>
      <w:tr w:rsidR="00836639" w14:paraId="672B0B5D" w14:textId="77777777">
        <w:tc>
          <w:tcPr>
            <w:tcW w:w="862" w:type="dxa"/>
          </w:tcPr>
          <w:p w14:paraId="7143FA4D" w14:textId="77777777" w:rsidR="00836639" w:rsidRDefault="00000000">
            <w:pPr>
              <w:widowControl/>
              <w:jc w:val="both"/>
              <w:rPr>
                <w:sz w:val="20"/>
                <w:szCs w:val="20"/>
              </w:rPr>
            </w:pPr>
            <w:r>
              <w:rPr>
                <w:sz w:val="20"/>
                <w:szCs w:val="20"/>
              </w:rPr>
              <w:t>España</w:t>
            </w:r>
          </w:p>
        </w:tc>
        <w:tc>
          <w:tcPr>
            <w:tcW w:w="3674" w:type="dxa"/>
          </w:tcPr>
          <w:p w14:paraId="57E65668" w14:textId="77777777" w:rsidR="00836639" w:rsidRDefault="00000000">
            <w:pPr>
              <w:widowControl/>
              <w:jc w:val="both"/>
              <w:rPr>
                <w:sz w:val="20"/>
                <w:szCs w:val="20"/>
              </w:rPr>
            </w:pPr>
            <w:r>
              <w:rPr>
                <w:sz w:val="20"/>
                <w:szCs w:val="20"/>
              </w:rPr>
              <w:t>Jefatura del Estado / Agencia Tributaria</w:t>
            </w:r>
          </w:p>
        </w:tc>
        <w:tc>
          <w:tcPr>
            <w:tcW w:w="2302" w:type="dxa"/>
          </w:tcPr>
          <w:p w14:paraId="3A8DA621" w14:textId="77777777" w:rsidR="00836639" w:rsidRDefault="00000000">
            <w:pPr>
              <w:widowControl/>
              <w:jc w:val="both"/>
              <w:rPr>
                <w:color w:val="0000FF"/>
                <w:sz w:val="20"/>
                <w:szCs w:val="20"/>
                <w:u w:val="single"/>
              </w:rPr>
            </w:pPr>
            <w:hyperlink r:id="rId76">
              <w:r>
                <w:rPr>
                  <w:color w:val="0000FF"/>
                  <w:sz w:val="20"/>
                  <w:szCs w:val="20"/>
                  <w:u w:val="single"/>
                </w:rPr>
                <w:t>https://bit.ly/49drI6n</w:t>
              </w:r>
            </w:hyperlink>
            <w:r>
              <w:rPr>
                <w:color w:val="0000FF"/>
                <w:sz w:val="20"/>
                <w:szCs w:val="20"/>
                <w:u w:val="single"/>
              </w:rPr>
              <w:t xml:space="preserve"> </w:t>
            </w:r>
          </w:p>
        </w:tc>
      </w:tr>
      <w:tr w:rsidR="00836639" w14:paraId="372652A3" w14:textId="77777777">
        <w:tc>
          <w:tcPr>
            <w:tcW w:w="862" w:type="dxa"/>
            <w:vAlign w:val="center"/>
          </w:tcPr>
          <w:p w14:paraId="795FE4A5" w14:textId="77777777" w:rsidR="00836639" w:rsidRDefault="00000000">
            <w:pPr>
              <w:widowControl/>
              <w:jc w:val="both"/>
              <w:rPr>
                <w:sz w:val="20"/>
                <w:szCs w:val="20"/>
              </w:rPr>
            </w:pPr>
            <w:r>
              <w:rPr>
                <w:sz w:val="20"/>
                <w:szCs w:val="20"/>
              </w:rPr>
              <w:t xml:space="preserve">Francia </w:t>
            </w:r>
          </w:p>
        </w:tc>
        <w:tc>
          <w:tcPr>
            <w:tcW w:w="3674" w:type="dxa"/>
            <w:vAlign w:val="center"/>
          </w:tcPr>
          <w:p w14:paraId="6ED3836D" w14:textId="77777777" w:rsidR="00836639" w:rsidRPr="003E056B" w:rsidRDefault="00000000">
            <w:pPr>
              <w:widowControl/>
              <w:jc w:val="both"/>
              <w:rPr>
                <w:sz w:val="20"/>
                <w:szCs w:val="20"/>
                <w:lang w:val="pt-BR"/>
              </w:rPr>
            </w:pPr>
            <w:r w:rsidRPr="003E056B">
              <w:rPr>
                <w:sz w:val="20"/>
                <w:szCs w:val="20"/>
                <w:lang w:val="pt-BR"/>
              </w:rPr>
              <w:t xml:space="preserve">Centre </w:t>
            </w:r>
            <w:proofErr w:type="spellStart"/>
            <w:r w:rsidRPr="003E056B">
              <w:rPr>
                <w:sz w:val="20"/>
                <w:szCs w:val="20"/>
                <w:lang w:val="pt-BR"/>
              </w:rPr>
              <w:t>national</w:t>
            </w:r>
            <w:proofErr w:type="spellEnd"/>
            <w:r w:rsidRPr="003E056B">
              <w:rPr>
                <w:sz w:val="20"/>
                <w:szCs w:val="20"/>
                <w:lang w:val="pt-BR"/>
              </w:rPr>
              <w:t xml:space="preserve"> </w:t>
            </w:r>
            <w:proofErr w:type="spellStart"/>
            <w:r w:rsidRPr="003E056B">
              <w:rPr>
                <w:sz w:val="20"/>
                <w:szCs w:val="20"/>
                <w:lang w:val="pt-BR"/>
              </w:rPr>
              <w:t>du</w:t>
            </w:r>
            <w:proofErr w:type="spellEnd"/>
            <w:r w:rsidRPr="003E056B">
              <w:rPr>
                <w:sz w:val="20"/>
                <w:szCs w:val="20"/>
                <w:lang w:val="pt-BR"/>
              </w:rPr>
              <w:t xml:space="preserve"> </w:t>
            </w:r>
            <w:proofErr w:type="spellStart"/>
            <w:r w:rsidRPr="003E056B">
              <w:rPr>
                <w:sz w:val="20"/>
                <w:szCs w:val="20"/>
                <w:lang w:val="pt-BR"/>
              </w:rPr>
              <w:t>cinéma</w:t>
            </w:r>
            <w:proofErr w:type="spellEnd"/>
            <w:r w:rsidRPr="003E056B">
              <w:rPr>
                <w:sz w:val="20"/>
                <w:szCs w:val="20"/>
                <w:lang w:val="pt-BR"/>
              </w:rPr>
              <w:t xml:space="preserve"> et de </w:t>
            </w:r>
            <w:proofErr w:type="spellStart"/>
            <w:r w:rsidRPr="003E056B">
              <w:rPr>
                <w:sz w:val="20"/>
                <w:szCs w:val="20"/>
                <w:lang w:val="pt-BR"/>
              </w:rPr>
              <w:t>l'image</w:t>
            </w:r>
            <w:proofErr w:type="spellEnd"/>
            <w:r w:rsidRPr="003E056B">
              <w:rPr>
                <w:sz w:val="20"/>
                <w:szCs w:val="20"/>
                <w:lang w:val="pt-BR"/>
              </w:rPr>
              <w:t xml:space="preserve"> </w:t>
            </w:r>
            <w:proofErr w:type="spellStart"/>
            <w:r w:rsidRPr="003E056B">
              <w:rPr>
                <w:sz w:val="20"/>
                <w:szCs w:val="20"/>
                <w:lang w:val="pt-BR"/>
              </w:rPr>
              <w:t>animée</w:t>
            </w:r>
            <w:proofErr w:type="spellEnd"/>
          </w:p>
        </w:tc>
        <w:tc>
          <w:tcPr>
            <w:tcW w:w="2302" w:type="dxa"/>
            <w:vAlign w:val="center"/>
          </w:tcPr>
          <w:p w14:paraId="4365E59B" w14:textId="77777777" w:rsidR="00836639" w:rsidRDefault="00000000">
            <w:pPr>
              <w:widowControl/>
              <w:jc w:val="both"/>
              <w:rPr>
                <w:sz w:val="20"/>
                <w:szCs w:val="20"/>
              </w:rPr>
            </w:pPr>
            <w:hyperlink r:id="rId77">
              <w:r>
                <w:rPr>
                  <w:color w:val="0000FF"/>
                  <w:sz w:val="20"/>
                  <w:szCs w:val="20"/>
                  <w:u w:val="single"/>
                </w:rPr>
                <w:t>https://bit.ly/4pol69T</w:t>
              </w:r>
            </w:hyperlink>
            <w:r>
              <w:rPr>
                <w:sz w:val="20"/>
                <w:szCs w:val="20"/>
              </w:rPr>
              <w:t xml:space="preserve"> </w:t>
            </w:r>
          </w:p>
        </w:tc>
      </w:tr>
      <w:tr w:rsidR="00836639" w14:paraId="7D3C7B23" w14:textId="77777777">
        <w:tc>
          <w:tcPr>
            <w:tcW w:w="862" w:type="dxa"/>
            <w:vAlign w:val="center"/>
          </w:tcPr>
          <w:p w14:paraId="543CFD32" w14:textId="77777777" w:rsidR="00836639" w:rsidRDefault="00000000">
            <w:pPr>
              <w:widowControl/>
              <w:jc w:val="both"/>
              <w:rPr>
                <w:sz w:val="20"/>
                <w:szCs w:val="20"/>
              </w:rPr>
            </w:pPr>
            <w:r>
              <w:rPr>
                <w:sz w:val="20"/>
                <w:szCs w:val="20"/>
              </w:rPr>
              <w:t>Italia</w:t>
            </w:r>
          </w:p>
        </w:tc>
        <w:tc>
          <w:tcPr>
            <w:tcW w:w="3674" w:type="dxa"/>
            <w:vAlign w:val="center"/>
          </w:tcPr>
          <w:p w14:paraId="42CA5A07" w14:textId="77777777" w:rsidR="00836639" w:rsidRPr="003E056B" w:rsidRDefault="00000000">
            <w:pPr>
              <w:widowControl/>
              <w:jc w:val="both"/>
              <w:rPr>
                <w:sz w:val="20"/>
                <w:szCs w:val="20"/>
                <w:lang w:val="pt-BR"/>
              </w:rPr>
            </w:pPr>
            <w:proofErr w:type="spellStart"/>
            <w:r w:rsidRPr="003E056B">
              <w:rPr>
                <w:sz w:val="20"/>
                <w:szCs w:val="20"/>
                <w:lang w:val="pt-BR"/>
              </w:rPr>
              <w:t>Direzione</w:t>
            </w:r>
            <w:proofErr w:type="spellEnd"/>
            <w:r w:rsidRPr="003E056B">
              <w:rPr>
                <w:sz w:val="20"/>
                <w:szCs w:val="20"/>
                <w:lang w:val="pt-BR"/>
              </w:rPr>
              <w:t xml:space="preserve"> </w:t>
            </w:r>
            <w:proofErr w:type="spellStart"/>
            <w:r w:rsidRPr="003E056B">
              <w:rPr>
                <w:sz w:val="20"/>
                <w:szCs w:val="20"/>
                <w:lang w:val="pt-BR"/>
              </w:rPr>
              <w:t>Generale</w:t>
            </w:r>
            <w:proofErr w:type="spellEnd"/>
            <w:r w:rsidRPr="003E056B">
              <w:rPr>
                <w:sz w:val="20"/>
                <w:szCs w:val="20"/>
                <w:lang w:val="pt-BR"/>
              </w:rPr>
              <w:t xml:space="preserve"> Cinema e </w:t>
            </w:r>
            <w:proofErr w:type="spellStart"/>
            <w:r w:rsidRPr="003E056B">
              <w:rPr>
                <w:sz w:val="20"/>
                <w:szCs w:val="20"/>
                <w:lang w:val="pt-BR"/>
              </w:rPr>
              <w:t>audiovisivo</w:t>
            </w:r>
            <w:proofErr w:type="spellEnd"/>
          </w:p>
        </w:tc>
        <w:tc>
          <w:tcPr>
            <w:tcW w:w="2302" w:type="dxa"/>
            <w:vAlign w:val="center"/>
          </w:tcPr>
          <w:p w14:paraId="67ECA9D7" w14:textId="77777777" w:rsidR="00836639" w:rsidRDefault="00000000">
            <w:pPr>
              <w:widowControl/>
              <w:jc w:val="both"/>
              <w:rPr>
                <w:sz w:val="20"/>
                <w:szCs w:val="20"/>
              </w:rPr>
            </w:pPr>
            <w:hyperlink r:id="rId78">
              <w:r>
                <w:rPr>
                  <w:color w:val="0000FF"/>
                  <w:sz w:val="20"/>
                  <w:szCs w:val="20"/>
                  <w:u w:val="single"/>
                </w:rPr>
                <w:t>https://bit.ly/3YvTKUo</w:t>
              </w:r>
            </w:hyperlink>
            <w:r>
              <w:rPr>
                <w:sz w:val="20"/>
                <w:szCs w:val="20"/>
              </w:rPr>
              <w:t xml:space="preserve"> </w:t>
            </w:r>
          </w:p>
        </w:tc>
      </w:tr>
      <w:tr w:rsidR="00836639" w14:paraId="0988B8B8" w14:textId="77777777">
        <w:tc>
          <w:tcPr>
            <w:tcW w:w="862" w:type="dxa"/>
            <w:vAlign w:val="center"/>
          </w:tcPr>
          <w:p w14:paraId="144CEC59" w14:textId="77777777" w:rsidR="00836639" w:rsidRDefault="00000000">
            <w:pPr>
              <w:widowControl/>
              <w:jc w:val="both"/>
              <w:rPr>
                <w:sz w:val="20"/>
                <w:szCs w:val="20"/>
              </w:rPr>
            </w:pPr>
            <w:r>
              <w:rPr>
                <w:sz w:val="20"/>
                <w:szCs w:val="20"/>
              </w:rPr>
              <w:t xml:space="preserve">Irlanda </w:t>
            </w:r>
          </w:p>
        </w:tc>
        <w:tc>
          <w:tcPr>
            <w:tcW w:w="3674" w:type="dxa"/>
            <w:vAlign w:val="center"/>
          </w:tcPr>
          <w:p w14:paraId="6613C4E8" w14:textId="77777777" w:rsidR="00836639" w:rsidRPr="003E056B" w:rsidRDefault="00000000">
            <w:pPr>
              <w:widowControl/>
              <w:jc w:val="both"/>
              <w:rPr>
                <w:sz w:val="20"/>
                <w:szCs w:val="20"/>
                <w:lang w:val="en-GB"/>
              </w:rPr>
            </w:pPr>
            <w:r w:rsidRPr="003E056B">
              <w:rPr>
                <w:sz w:val="20"/>
                <w:szCs w:val="20"/>
                <w:lang w:val="en-GB"/>
              </w:rPr>
              <w:t>Revenue Irish Tax and Customs</w:t>
            </w:r>
          </w:p>
        </w:tc>
        <w:tc>
          <w:tcPr>
            <w:tcW w:w="2302" w:type="dxa"/>
            <w:vAlign w:val="center"/>
          </w:tcPr>
          <w:p w14:paraId="1F75E96D" w14:textId="77777777" w:rsidR="00836639" w:rsidRDefault="00000000">
            <w:pPr>
              <w:widowControl/>
              <w:jc w:val="both"/>
              <w:rPr>
                <w:sz w:val="20"/>
                <w:szCs w:val="20"/>
              </w:rPr>
            </w:pPr>
            <w:hyperlink r:id="rId79">
              <w:r>
                <w:rPr>
                  <w:color w:val="0000FF"/>
                  <w:sz w:val="20"/>
                  <w:szCs w:val="20"/>
                  <w:u w:val="single"/>
                </w:rPr>
                <w:t>https://bit.ly/4pvL9Mv</w:t>
              </w:r>
            </w:hyperlink>
            <w:r>
              <w:rPr>
                <w:sz w:val="20"/>
                <w:szCs w:val="20"/>
              </w:rPr>
              <w:t xml:space="preserve"> </w:t>
            </w:r>
          </w:p>
        </w:tc>
      </w:tr>
      <w:tr w:rsidR="00836639" w14:paraId="280B879C" w14:textId="77777777">
        <w:tc>
          <w:tcPr>
            <w:tcW w:w="862" w:type="dxa"/>
            <w:vAlign w:val="center"/>
          </w:tcPr>
          <w:p w14:paraId="5D230E35" w14:textId="77777777" w:rsidR="00836639" w:rsidRDefault="00000000">
            <w:pPr>
              <w:widowControl/>
              <w:jc w:val="both"/>
              <w:rPr>
                <w:sz w:val="20"/>
                <w:szCs w:val="20"/>
              </w:rPr>
            </w:pPr>
            <w:r>
              <w:rPr>
                <w:sz w:val="20"/>
                <w:szCs w:val="20"/>
              </w:rPr>
              <w:t xml:space="preserve">Alemania </w:t>
            </w:r>
          </w:p>
        </w:tc>
        <w:tc>
          <w:tcPr>
            <w:tcW w:w="3674" w:type="dxa"/>
            <w:vAlign w:val="center"/>
          </w:tcPr>
          <w:p w14:paraId="24E4FD45" w14:textId="77777777" w:rsidR="00836639" w:rsidRDefault="00000000">
            <w:pPr>
              <w:widowControl/>
              <w:jc w:val="both"/>
              <w:rPr>
                <w:sz w:val="20"/>
                <w:szCs w:val="20"/>
              </w:rPr>
            </w:pPr>
            <w:proofErr w:type="spellStart"/>
            <w:r>
              <w:rPr>
                <w:sz w:val="20"/>
                <w:szCs w:val="20"/>
              </w:rPr>
              <w:t>Filmförderungsanstalt</w:t>
            </w:r>
            <w:proofErr w:type="spellEnd"/>
          </w:p>
        </w:tc>
        <w:tc>
          <w:tcPr>
            <w:tcW w:w="2302" w:type="dxa"/>
            <w:vAlign w:val="center"/>
          </w:tcPr>
          <w:p w14:paraId="7FD4F6C3" w14:textId="77777777" w:rsidR="00836639" w:rsidRDefault="00000000">
            <w:pPr>
              <w:widowControl/>
              <w:jc w:val="both"/>
              <w:rPr>
                <w:sz w:val="20"/>
                <w:szCs w:val="20"/>
              </w:rPr>
            </w:pPr>
            <w:hyperlink r:id="rId80">
              <w:r>
                <w:rPr>
                  <w:color w:val="0000FF"/>
                  <w:sz w:val="20"/>
                  <w:szCs w:val="20"/>
                  <w:u w:val="single"/>
                </w:rPr>
                <w:t>https://bit.ly/3Lh9XtH</w:t>
              </w:r>
            </w:hyperlink>
            <w:r>
              <w:rPr>
                <w:sz w:val="20"/>
                <w:szCs w:val="20"/>
              </w:rPr>
              <w:t xml:space="preserve"> </w:t>
            </w:r>
          </w:p>
        </w:tc>
      </w:tr>
      <w:tr w:rsidR="00836639" w14:paraId="184F0DDF" w14:textId="77777777">
        <w:tc>
          <w:tcPr>
            <w:tcW w:w="862" w:type="dxa"/>
            <w:vAlign w:val="center"/>
          </w:tcPr>
          <w:p w14:paraId="5D5E2D62" w14:textId="77777777" w:rsidR="00836639" w:rsidRDefault="00000000">
            <w:pPr>
              <w:widowControl/>
              <w:jc w:val="both"/>
              <w:rPr>
                <w:sz w:val="20"/>
                <w:szCs w:val="20"/>
              </w:rPr>
            </w:pPr>
            <w:r>
              <w:rPr>
                <w:sz w:val="20"/>
                <w:szCs w:val="20"/>
              </w:rPr>
              <w:t xml:space="preserve">Portugal </w:t>
            </w:r>
          </w:p>
        </w:tc>
        <w:tc>
          <w:tcPr>
            <w:tcW w:w="3674" w:type="dxa"/>
            <w:vAlign w:val="center"/>
          </w:tcPr>
          <w:p w14:paraId="00FFEDE9" w14:textId="77777777" w:rsidR="00836639" w:rsidRPr="003E056B" w:rsidRDefault="00000000">
            <w:pPr>
              <w:widowControl/>
              <w:jc w:val="both"/>
              <w:rPr>
                <w:sz w:val="20"/>
                <w:szCs w:val="20"/>
                <w:lang w:val="pt-BR"/>
              </w:rPr>
            </w:pPr>
            <w:r w:rsidRPr="003E056B">
              <w:rPr>
                <w:sz w:val="20"/>
                <w:szCs w:val="20"/>
                <w:lang w:val="pt-BR"/>
              </w:rPr>
              <w:t>Instituto do Cinema e do Audiovisual</w:t>
            </w:r>
          </w:p>
        </w:tc>
        <w:tc>
          <w:tcPr>
            <w:tcW w:w="2302" w:type="dxa"/>
            <w:vAlign w:val="center"/>
          </w:tcPr>
          <w:p w14:paraId="7556A6EF" w14:textId="77777777" w:rsidR="00836639" w:rsidRDefault="00000000">
            <w:pPr>
              <w:widowControl/>
              <w:jc w:val="both"/>
              <w:rPr>
                <w:sz w:val="20"/>
                <w:szCs w:val="20"/>
              </w:rPr>
            </w:pPr>
            <w:hyperlink r:id="rId81">
              <w:r>
                <w:rPr>
                  <w:color w:val="0000FF"/>
                  <w:sz w:val="20"/>
                  <w:szCs w:val="20"/>
                  <w:u w:val="single"/>
                </w:rPr>
                <w:t>https://bit.ly/3LA7VF6</w:t>
              </w:r>
            </w:hyperlink>
            <w:r>
              <w:rPr>
                <w:sz w:val="20"/>
                <w:szCs w:val="20"/>
              </w:rPr>
              <w:t xml:space="preserve"> </w:t>
            </w:r>
          </w:p>
        </w:tc>
      </w:tr>
      <w:tr w:rsidR="00836639" w14:paraId="68D00C36" w14:textId="77777777">
        <w:tc>
          <w:tcPr>
            <w:tcW w:w="862" w:type="dxa"/>
            <w:vAlign w:val="center"/>
          </w:tcPr>
          <w:p w14:paraId="2BD3EA5F" w14:textId="77777777" w:rsidR="00836639" w:rsidRDefault="00000000">
            <w:pPr>
              <w:widowControl/>
              <w:jc w:val="both"/>
              <w:rPr>
                <w:sz w:val="20"/>
                <w:szCs w:val="20"/>
              </w:rPr>
            </w:pPr>
            <w:r>
              <w:rPr>
                <w:sz w:val="20"/>
                <w:szCs w:val="20"/>
              </w:rPr>
              <w:t xml:space="preserve">Reino Unido </w:t>
            </w:r>
          </w:p>
        </w:tc>
        <w:tc>
          <w:tcPr>
            <w:tcW w:w="3674" w:type="dxa"/>
            <w:vAlign w:val="center"/>
          </w:tcPr>
          <w:p w14:paraId="7BD3077D" w14:textId="77777777" w:rsidR="00836639" w:rsidRDefault="00000000">
            <w:pPr>
              <w:widowControl/>
              <w:jc w:val="both"/>
              <w:rPr>
                <w:sz w:val="20"/>
                <w:szCs w:val="20"/>
              </w:rPr>
            </w:pPr>
            <w:r>
              <w:rPr>
                <w:sz w:val="20"/>
                <w:szCs w:val="20"/>
              </w:rPr>
              <w:t xml:space="preserve">Her </w:t>
            </w:r>
            <w:proofErr w:type="spellStart"/>
            <w:r>
              <w:rPr>
                <w:sz w:val="20"/>
                <w:szCs w:val="20"/>
              </w:rPr>
              <w:t>Majesty’s</w:t>
            </w:r>
            <w:proofErr w:type="spellEnd"/>
            <w:r>
              <w:rPr>
                <w:sz w:val="20"/>
                <w:szCs w:val="20"/>
              </w:rPr>
              <w:t xml:space="preserve"> </w:t>
            </w:r>
            <w:proofErr w:type="spellStart"/>
            <w:r>
              <w:rPr>
                <w:sz w:val="20"/>
                <w:szCs w:val="20"/>
              </w:rPr>
              <w:t>Revenue</w:t>
            </w:r>
            <w:proofErr w:type="spellEnd"/>
            <w:r>
              <w:rPr>
                <w:sz w:val="20"/>
                <w:szCs w:val="20"/>
              </w:rPr>
              <w:t xml:space="preserve"> &amp; </w:t>
            </w:r>
            <w:proofErr w:type="spellStart"/>
            <w:r>
              <w:rPr>
                <w:sz w:val="20"/>
                <w:szCs w:val="20"/>
              </w:rPr>
              <w:t>Customs</w:t>
            </w:r>
            <w:proofErr w:type="spellEnd"/>
          </w:p>
        </w:tc>
        <w:tc>
          <w:tcPr>
            <w:tcW w:w="2302" w:type="dxa"/>
            <w:vAlign w:val="center"/>
          </w:tcPr>
          <w:p w14:paraId="69D34377" w14:textId="77777777" w:rsidR="00836639" w:rsidRDefault="00000000">
            <w:pPr>
              <w:widowControl/>
              <w:jc w:val="both"/>
              <w:rPr>
                <w:sz w:val="20"/>
                <w:szCs w:val="20"/>
              </w:rPr>
            </w:pPr>
            <w:hyperlink r:id="rId82">
              <w:r>
                <w:rPr>
                  <w:color w:val="0000FF"/>
                  <w:sz w:val="20"/>
                  <w:szCs w:val="20"/>
                  <w:u w:val="single"/>
                </w:rPr>
                <w:t>https://bit.ly/451hMKL</w:t>
              </w:r>
            </w:hyperlink>
            <w:r>
              <w:rPr>
                <w:sz w:val="20"/>
                <w:szCs w:val="20"/>
              </w:rPr>
              <w:t xml:space="preserve"> </w:t>
            </w:r>
          </w:p>
        </w:tc>
      </w:tr>
      <w:tr w:rsidR="00836639" w14:paraId="7F5F7DA6" w14:textId="77777777">
        <w:tc>
          <w:tcPr>
            <w:tcW w:w="862" w:type="dxa"/>
            <w:vAlign w:val="center"/>
          </w:tcPr>
          <w:p w14:paraId="1071679C" w14:textId="77777777" w:rsidR="00836639" w:rsidRDefault="00000000">
            <w:pPr>
              <w:widowControl/>
              <w:jc w:val="both"/>
              <w:rPr>
                <w:sz w:val="20"/>
                <w:szCs w:val="20"/>
              </w:rPr>
            </w:pPr>
            <w:r>
              <w:rPr>
                <w:sz w:val="20"/>
                <w:szCs w:val="20"/>
              </w:rPr>
              <w:t xml:space="preserve">Bélgica </w:t>
            </w:r>
          </w:p>
        </w:tc>
        <w:tc>
          <w:tcPr>
            <w:tcW w:w="3674" w:type="dxa"/>
            <w:vAlign w:val="center"/>
          </w:tcPr>
          <w:p w14:paraId="69A0860A" w14:textId="77777777" w:rsidR="00836639" w:rsidRDefault="00000000">
            <w:pPr>
              <w:widowControl/>
              <w:jc w:val="both"/>
              <w:rPr>
                <w:sz w:val="20"/>
                <w:szCs w:val="20"/>
              </w:rPr>
            </w:pPr>
            <w:r>
              <w:rPr>
                <w:sz w:val="20"/>
                <w:szCs w:val="20"/>
              </w:rPr>
              <w:t xml:space="preserve">Service Public </w:t>
            </w:r>
            <w:proofErr w:type="spellStart"/>
            <w:r>
              <w:rPr>
                <w:sz w:val="20"/>
                <w:szCs w:val="20"/>
              </w:rPr>
              <w:t>Fédéral</w:t>
            </w:r>
            <w:proofErr w:type="spellEnd"/>
            <w:r>
              <w:rPr>
                <w:sz w:val="20"/>
                <w:szCs w:val="20"/>
              </w:rPr>
              <w:t xml:space="preserve"> </w:t>
            </w:r>
            <w:proofErr w:type="spellStart"/>
            <w:r>
              <w:rPr>
                <w:sz w:val="20"/>
                <w:szCs w:val="20"/>
              </w:rPr>
              <w:t>Finances</w:t>
            </w:r>
            <w:proofErr w:type="spellEnd"/>
          </w:p>
        </w:tc>
        <w:tc>
          <w:tcPr>
            <w:tcW w:w="2302" w:type="dxa"/>
            <w:vAlign w:val="center"/>
          </w:tcPr>
          <w:p w14:paraId="4E431A94" w14:textId="77777777" w:rsidR="00836639" w:rsidRDefault="00000000">
            <w:pPr>
              <w:widowControl/>
              <w:jc w:val="both"/>
              <w:rPr>
                <w:sz w:val="20"/>
                <w:szCs w:val="20"/>
              </w:rPr>
            </w:pPr>
            <w:hyperlink r:id="rId83">
              <w:r>
                <w:rPr>
                  <w:color w:val="0000FF"/>
                  <w:sz w:val="20"/>
                  <w:szCs w:val="20"/>
                  <w:u w:val="single"/>
                </w:rPr>
                <w:t>https://bit.ly/3Lh9IPj</w:t>
              </w:r>
            </w:hyperlink>
            <w:r>
              <w:rPr>
                <w:sz w:val="20"/>
                <w:szCs w:val="20"/>
              </w:rPr>
              <w:t xml:space="preserve"> </w:t>
            </w:r>
          </w:p>
        </w:tc>
      </w:tr>
      <w:tr w:rsidR="00836639" w14:paraId="7601612A" w14:textId="77777777">
        <w:tc>
          <w:tcPr>
            <w:tcW w:w="862" w:type="dxa"/>
            <w:vAlign w:val="center"/>
          </w:tcPr>
          <w:p w14:paraId="0D643A00" w14:textId="77777777" w:rsidR="00836639" w:rsidRDefault="00000000">
            <w:pPr>
              <w:widowControl/>
              <w:jc w:val="both"/>
              <w:rPr>
                <w:sz w:val="20"/>
                <w:szCs w:val="20"/>
              </w:rPr>
            </w:pPr>
            <w:r>
              <w:rPr>
                <w:sz w:val="20"/>
                <w:szCs w:val="20"/>
              </w:rPr>
              <w:t xml:space="preserve">Malta </w:t>
            </w:r>
          </w:p>
        </w:tc>
        <w:tc>
          <w:tcPr>
            <w:tcW w:w="3674" w:type="dxa"/>
            <w:vAlign w:val="center"/>
          </w:tcPr>
          <w:p w14:paraId="5911CCAB" w14:textId="77777777" w:rsidR="00836639" w:rsidRDefault="00000000">
            <w:pPr>
              <w:widowControl/>
              <w:jc w:val="both"/>
              <w:rPr>
                <w:sz w:val="20"/>
                <w:szCs w:val="20"/>
              </w:rPr>
            </w:pPr>
            <w:r>
              <w:rPr>
                <w:sz w:val="20"/>
                <w:szCs w:val="20"/>
              </w:rPr>
              <w:t xml:space="preserve">Malta Film </w:t>
            </w:r>
            <w:proofErr w:type="spellStart"/>
            <w:r>
              <w:rPr>
                <w:sz w:val="20"/>
                <w:szCs w:val="20"/>
              </w:rPr>
              <w:t>Commission</w:t>
            </w:r>
            <w:proofErr w:type="spellEnd"/>
          </w:p>
        </w:tc>
        <w:tc>
          <w:tcPr>
            <w:tcW w:w="2302" w:type="dxa"/>
            <w:vAlign w:val="center"/>
          </w:tcPr>
          <w:p w14:paraId="1AE59E94" w14:textId="77777777" w:rsidR="00836639" w:rsidRDefault="00000000">
            <w:pPr>
              <w:widowControl/>
              <w:jc w:val="both"/>
              <w:rPr>
                <w:sz w:val="20"/>
                <w:szCs w:val="20"/>
              </w:rPr>
            </w:pPr>
            <w:hyperlink r:id="rId84">
              <w:r>
                <w:rPr>
                  <w:color w:val="0000FF"/>
                  <w:sz w:val="20"/>
                  <w:szCs w:val="20"/>
                  <w:u w:val="single"/>
                </w:rPr>
                <w:t>https://bit.ly/49oOKpx</w:t>
              </w:r>
            </w:hyperlink>
            <w:r>
              <w:rPr>
                <w:sz w:val="20"/>
                <w:szCs w:val="20"/>
              </w:rPr>
              <w:t xml:space="preserve"> </w:t>
            </w:r>
          </w:p>
        </w:tc>
      </w:tr>
      <w:tr w:rsidR="00836639" w14:paraId="472C7FFD" w14:textId="77777777">
        <w:tc>
          <w:tcPr>
            <w:tcW w:w="862" w:type="dxa"/>
            <w:vAlign w:val="center"/>
          </w:tcPr>
          <w:p w14:paraId="2DF97A73" w14:textId="77777777" w:rsidR="00836639" w:rsidRDefault="00000000">
            <w:pPr>
              <w:widowControl/>
              <w:jc w:val="both"/>
              <w:rPr>
                <w:sz w:val="20"/>
                <w:szCs w:val="20"/>
              </w:rPr>
            </w:pPr>
            <w:r>
              <w:rPr>
                <w:sz w:val="20"/>
                <w:szCs w:val="20"/>
              </w:rPr>
              <w:t xml:space="preserve">Polonia </w:t>
            </w:r>
          </w:p>
        </w:tc>
        <w:tc>
          <w:tcPr>
            <w:tcW w:w="3674" w:type="dxa"/>
            <w:vAlign w:val="center"/>
          </w:tcPr>
          <w:p w14:paraId="56DB60B9" w14:textId="77777777" w:rsidR="00836639" w:rsidRPr="003E056B" w:rsidRDefault="00000000">
            <w:pPr>
              <w:widowControl/>
              <w:jc w:val="both"/>
              <w:rPr>
                <w:sz w:val="20"/>
                <w:szCs w:val="20"/>
                <w:lang w:val="en-GB"/>
              </w:rPr>
            </w:pPr>
            <w:r w:rsidRPr="003E056B">
              <w:rPr>
                <w:sz w:val="20"/>
                <w:szCs w:val="20"/>
                <w:lang w:val="en-GB"/>
              </w:rPr>
              <w:t>Film Institute / Polish Film Commission</w:t>
            </w:r>
          </w:p>
        </w:tc>
        <w:tc>
          <w:tcPr>
            <w:tcW w:w="2302" w:type="dxa"/>
            <w:vAlign w:val="center"/>
          </w:tcPr>
          <w:p w14:paraId="391A75F8" w14:textId="77777777" w:rsidR="00836639" w:rsidRDefault="00000000">
            <w:pPr>
              <w:widowControl/>
              <w:jc w:val="both"/>
              <w:rPr>
                <w:sz w:val="20"/>
                <w:szCs w:val="20"/>
              </w:rPr>
            </w:pPr>
            <w:hyperlink r:id="rId85">
              <w:r>
                <w:rPr>
                  <w:color w:val="0000FF"/>
                  <w:sz w:val="20"/>
                  <w:szCs w:val="20"/>
                  <w:u w:val="single"/>
                </w:rPr>
                <w:t>https://bit.ly/4jzIqQQ</w:t>
              </w:r>
            </w:hyperlink>
            <w:r>
              <w:rPr>
                <w:sz w:val="20"/>
                <w:szCs w:val="20"/>
              </w:rPr>
              <w:t xml:space="preserve"> </w:t>
            </w:r>
          </w:p>
        </w:tc>
      </w:tr>
      <w:tr w:rsidR="00836639" w14:paraId="6D117877" w14:textId="77777777">
        <w:tc>
          <w:tcPr>
            <w:tcW w:w="862" w:type="dxa"/>
            <w:vAlign w:val="center"/>
          </w:tcPr>
          <w:p w14:paraId="1136DF09" w14:textId="77777777" w:rsidR="00836639" w:rsidRDefault="00000000">
            <w:pPr>
              <w:widowControl/>
              <w:jc w:val="both"/>
              <w:rPr>
                <w:sz w:val="20"/>
                <w:szCs w:val="20"/>
              </w:rPr>
            </w:pPr>
            <w:r>
              <w:rPr>
                <w:sz w:val="20"/>
                <w:szCs w:val="20"/>
              </w:rPr>
              <w:t xml:space="preserve">Rumanía </w:t>
            </w:r>
          </w:p>
        </w:tc>
        <w:tc>
          <w:tcPr>
            <w:tcW w:w="3674" w:type="dxa"/>
            <w:vAlign w:val="center"/>
          </w:tcPr>
          <w:p w14:paraId="011712BF" w14:textId="77777777" w:rsidR="00836639" w:rsidRDefault="00000000">
            <w:pPr>
              <w:widowControl/>
              <w:jc w:val="both"/>
              <w:rPr>
                <w:sz w:val="20"/>
                <w:szCs w:val="20"/>
              </w:rPr>
            </w:pPr>
            <w:proofErr w:type="spellStart"/>
            <w:r>
              <w:rPr>
                <w:sz w:val="20"/>
                <w:szCs w:val="20"/>
              </w:rPr>
              <w:t>Oficiul</w:t>
            </w:r>
            <w:proofErr w:type="spellEnd"/>
            <w:r>
              <w:rPr>
                <w:sz w:val="20"/>
                <w:szCs w:val="20"/>
              </w:rPr>
              <w:t xml:space="preserve"> de Film </w:t>
            </w:r>
            <w:proofErr w:type="spellStart"/>
            <w:r>
              <w:rPr>
                <w:rFonts w:ascii="Cambria" w:eastAsia="Cambria" w:hAnsi="Cambria" w:cs="Cambria"/>
                <w:sz w:val="20"/>
                <w:szCs w:val="20"/>
              </w:rPr>
              <w:t>ș</w:t>
            </w:r>
            <w:r>
              <w:rPr>
                <w:sz w:val="20"/>
                <w:szCs w:val="20"/>
              </w:rPr>
              <w:t>i</w:t>
            </w:r>
            <w:proofErr w:type="spellEnd"/>
            <w:r>
              <w:rPr>
                <w:sz w:val="20"/>
                <w:szCs w:val="20"/>
              </w:rPr>
              <w:t xml:space="preserve"> </w:t>
            </w:r>
            <w:proofErr w:type="spellStart"/>
            <w:r>
              <w:rPr>
                <w:sz w:val="20"/>
                <w:szCs w:val="20"/>
              </w:rPr>
              <w:t>Investi</w:t>
            </w:r>
            <w:r>
              <w:rPr>
                <w:rFonts w:ascii="Cambria" w:eastAsia="Cambria" w:hAnsi="Cambria" w:cs="Cambria"/>
                <w:sz w:val="20"/>
                <w:szCs w:val="20"/>
              </w:rPr>
              <w:t>ț</w:t>
            </w:r>
            <w:r>
              <w:rPr>
                <w:sz w:val="20"/>
                <w:szCs w:val="20"/>
              </w:rPr>
              <w:t>ii</w:t>
            </w:r>
            <w:proofErr w:type="spellEnd"/>
            <w:r>
              <w:rPr>
                <w:sz w:val="20"/>
                <w:szCs w:val="20"/>
              </w:rPr>
              <w:t xml:space="preserve"> </w:t>
            </w:r>
            <w:proofErr w:type="spellStart"/>
            <w:r>
              <w:rPr>
                <w:sz w:val="20"/>
                <w:szCs w:val="20"/>
              </w:rPr>
              <w:t>Culturale</w:t>
            </w:r>
            <w:proofErr w:type="spellEnd"/>
          </w:p>
        </w:tc>
        <w:tc>
          <w:tcPr>
            <w:tcW w:w="2302" w:type="dxa"/>
            <w:vAlign w:val="center"/>
          </w:tcPr>
          <w:p w14:paraId="6D36DEE2" w14:textId="77777777" w:rsidR="00836639" w:rsidRDefault="00000000">
            <w:pPr>
              <w:widowControl/>
              <w:jc w:val="both"/>
              <w:rPr>
                <w:sz w:val="20"/>
                <w:szCs w:val="20"/>
              </w:rPr>
            </w:pPr>
            <w:hyperlink r:id="rId86">
              <w:r>
                <w:rPr>
                  <w:color w:val="0000FF"/>
                  <w:sz w:val="20"/>
                  <w:szCs w:val="20"/>
                  <w:u w:val="single"/>
                </w:rPr>
                <w:t>https://bit.ly/4qJQMI0</w:t>
              </w:r>
            </w:hyperlink>
            <w:r>
              <w:rPr>
                <w:sz w:val="20"/>
                <w:szCs w:val="20"/>
              </w:rPr>
              <w:t xml:space="preserve"> </w:t>
            </w:r>
          </w:p>
        </w:tc>
      </w:tr>
      <w:tr w:rsidR="00836639" w14:paraId="0ED2C166" w14:textId="77777777">
        <w:tc>
          <w:tcPr>
            <w:tcW w:w="862" w:type="dxa"/>
            <w:vAlign w:val="center"/>
          </w:tcPr>
          <w:p w14:paraId="5247560E" w14:textId="77777777" w:rsidR="00836639" w:rsidRDefault="00000000">
            <w:pPr>
              <w:widowControl/>
              <w:jc w:val="both"/>
              <w:rPr>
                <w:sz w:val="20"/>
                <w:szCs w:val="20"/>
              </w:rPr>
            </w:pPr>
            <w:r>
              <w:rPr>
                <w:sz w:val="20"/>
                <w:szCs w:val="20"/>
              </w:rPr>
              <w:t>República Checa</w:t>
            </w:r>
          </w:p>
        </w:tc>
        <w:tc>
          <w:tcPr>
            <w:tcW w:w="3674" w:type="dxa"/>
            <w:vAlign w:val="center"/>
          </w:tcPr>
          <w:p w14:paraId="15BD356C" w14:textId="77777777" w:rsidR="00836639" w:rsidRPr="003E056B" w:rsidRDefault="00000000">
            <w:pPr>
              <w:widowControl/>
              <w:jc w:val="both"/>
              <w:rPr>
                <w:sz w:val="20"/>
                <w:szCs w:val="20"/>
                <w:lang w:val="en-GB"/>
              </w:rPr>
            </w:pPr>
            <w:r w:rsidRPr="003E056B">
              <w:rPr>
                <w:sz w:val="20"/>
                <w:szCs w:val="20"/>
                <w:lang w:val="en-GB"/>
              </w:rPr>
              <w:t>Czech Audiovisual Fund / Czech Film Commission</w:t>
            </w:r>
          </w:p>
        </w:tc>
        <w:tc>
          <w:tcPr>
            <w:tcW w:w="2302" w:type="dxa"/>
            <w:vAlign w:val="center"/>
          </w:tcPr>
          <w:p w14:paraId="16B73E03" w14:textId="77777777" w:rsidR="00836639" w:rsidRDefault="00000000">
            <w:pPr>
              <w:widowControl/>
              <w:jc w:val="both"/>
              <w:rPr>
                <w:sz w:val="20"/>
                <w:szCs w:val="20"/>
              </w:rPr>
            </w:pPr>
            <w:hyperlink r:id="rId87">
              <w:r>
                <w:rPr>
                  <w:color w:val="0000FF"/>
                  <w:sz w:val="20"/>
                  <w:szCs w:val="20"/>
                  <w:u w:val="single"/>
                </w:rPr>
                <w:t>https://bit.ly/4jvJ6ql</w:t>
              </w:r>
            </w:hyperlink>
            <w:r>
              <w:rPr>
                <w:sz w:val="20"/>
                <w:szCs w:val="20"/>
              </w:rPr>
              <w:t xml:space="preserve"> </w:t>
            </w:r>
          </w:p>
        </w:tc>
      </w:tr>
      <w:tr w:rsidR="00836639" w14:paraId="230B68A9" w14:textId="77777777">
        <w:tc>
          <w:tcPr>
            <w:tcW w:w="862" w:type="dxa"/>
            <w:vAlign w:val="center"/>
          </w:tcPr>
          <w:p w14:paraId="46522465" w14:textId="77777777" w:rsidR="00836639" w:rsidRDefault="00000000">
            <w:pPr>
              <w:widowControl/>
              <w:jc w:val="both"/>
              <w:rPr>
                <w:sz w:val="20"/>
                <w:szCs w:val="20"/>
              </w:rPr>
            </w:pPr>
            <w:r>
              <w:rPr>
                <w:sz w:val="20"/>
                <w:szCs w:val="20"/>
              </w:rPr>
              <w:t xml:space="preserve">Hungría </w:t>
            </w:r>
          </w:p>
        </w:tc>
        <w:tc>
          <w:tcPr>
            <w:tcW w:w="3674" w:type="dxa"/>
            <w:vAlign w:val="center"/>
          </w:tcPr>
          <w:p w14:paraId="584B1553" w14:textId="77777777" w:rsidR="00836639" w:rsidRDefault="00000000">
            <w:pPr>
              <w:widowControl/>
              <w:jc w:val="both"/>
              <w:rPr>
                <w:sz w:val="20"/>
                <w:szCs w:val="20"/>
              </w:rPr>
            </w:pPr>
            <w:proofErr w:type="spellStart"/>
            <w:r>
              <w:rPr>
                <w:sz w:val="20"/>
                <w:szCs w:val="20"/>
              </w:rPr>
              <w:t>National</w:t>
            </w:r>
            <w:proofErr w:type="spellEnd"/>
            <w:r>
              <w:rPr>
                <w:sz w:val="20"/>
                <w:szCs w:val="20"/>
              </w:rPr>
              <w:t xml:space="preserve"> Film </w:t>
            </w:r>
            <w:proofErr w:type="spellStart"/>
            <w:r>
              <w:rPr>
                <w:sz w:val="20"/>
                <w:szCs w:val="20"/>
              </w:rPr>
              <w:t>Institute</w:t>
            </w:r>
            <w:proofErr w:type="spellEnd"/>
          </w:p>
        </w:tc>
        <w:tc>
          <w:tcPr>
            <w:tcW w:w="2302" w:type="dxa"/>
            <w:vAlign w:val="center"/>
          </w:tcPr>
          <w:p w14:paraId="537DFACD" w14:textId="77777777" w:rsidR="00836639" w:rsidRDefault="00000000">
            <w:pPr>
              <w:widowControl/>
              <w:jc w:val="both"/>
              <w:rPr>
                <w:sz w:val="20"/>
                <w:szCs w:val="20"/>
              </w:rPr>
            </w:pPr>
            <w:hyperlink r:id="rId88">
              <w:r>
                <w:rPr>
                  <w:color w:val="0000FF"/>
                  <w:sz w:val="20"/>
                  <w:szCs w:val="20"/>
                  <w:u w:val="single"/>
                </w:rPr>
                <w:t>https://bit.ly/4pt4wFO</w:t>
              </w:r>
            </w:hyperlink>
            <w:r>
              <w:rPr>
                <w:sz w:val="20"/>
                <w:szCs w:val="20"/>
              </w:rPr>
              <w:t xml:space="preserve"> </w:t>
            </w:r>
          </w:p>
        </w:tc>
      </w:tr>
      <w:tr w:rsidR="00836639" w14:paraId="046E2F6B" w14:textId="77777777">
        <w:tc>
          <w:tcPr>
            <w:tcW w:w="862" w:type="dxa"/>
            <w:vAlign w:val="center"/>
          </w:tcPr>
          <w:p w14:paraId="07BADB3D" w14:textId="77777777" w:rsidR="00836639" w:rsidRDefault="00000000">
            <w:pPr>
              <w:widowControl/>
              <w:ind w:right="4"/>
              <w:jc w:val="both"/>
              <w:rPr>
                <w:sz w:val="20"/>
                <w:szCs w:val="20"/>
              </w:rPr>
            </w:pPr>
            <w:r>
              <w:rPr>
                <w:sz w:val="20"/>
                <w:szCs w:val="20"/>
              </w:rPr>
              <w:t xml:space="preserve">Lituania </w:t>
            </w:r>
          </w:p>
        </w:tc>
        <w:tc>
          <w:tcPr>
            <w:tcW w:w="3674" w:type="dxa"/>
            <w:vAlign w:val="center"/>
          </w:tcPr>
          <w:p w14:paraId="26795D59" w14:textId="77777777" w:rsidR="00836639" w:rsidRDefault="00000000">
            <w:pPr>
              <w:widowControl/>
              <w:jc w:val="both"/>
              <w:rPr>
                <w:sz w:val="20"/>
                <w:szCs w:val="20"/>
              </w:rPr>
            </w:pPr>
            <w:proofErr w:type="spellStart"/>
            <w:r>
              <w:rPr>
                <w:sz w:val="20"/>
                <w:szCs w:val="20"/>
              </w:rPr>
              <w:t>Lithuanian</w:t>
            </w:r>
            <w:proofErr w:type="spellEnd"/>
            <w:r>
              <w:rPr>
                <w:sz w:val="20"/>
                <w:szCs w:val="20"/>
              </w:rPr>
              <w:t xml:space="preserve"> Film Centre</w:t>
            </w:r>
          </w:p>
        </w:tc>
        <w:tc>
          <w:tcPr>
            <w:tcW w:w="2302" w:type="dxa"/>
            <w:vAlign w:val="center"/>
          </w:tcPr>
          <w:p w14:paraId="18FEDCED" w14:textId="77777777" w:rsidR="00836639" w:rsidRDefault="00000000">
            <w:pPr>
              <w:widowControl/>
              <w:jc w:val="both"/>
              <w:rPr>
                <w:sz w:val="20"/>
                <w:szCs w:val="20"/>
              </w:rPr>
            </w:pPr>
            <w:hyperlink r:id="rId89">
              <w:r>
                <w:rPr>
                  <w:color w:val="0000FF"/>
                  <w:sz w:val="20"/>
                  <w:szCs w:val="20"/>
                  <w:u w:val="single"/>
                </w:rPr>
                <w:t>https://bit.ly/4pywWOS</w:t>
              </w:r>
            </w:hyperlink>
            <w:r>
              <w:rPr>
                <w:sz w:val="20"/>
                <w:szCs w:val="20"/>
              </w:rPr>
              <w:t xml:space="preserve"> </w:t>
            </w:r>
          </w:p>
        </w:tc>
      </w:tr>
    </w:tbl>
    <w:p w14:paraId="121DBBA5" w14:textId="77777777" w:rsidR="00836639" w:rsidRDefault="00836639">
      <w:pPr>
        <w:widowControl/>
        <w:pBdr>
          <w:top w:val="nil"/>
          <w:left w:val="nil"/>
          <w:bottom w:val="nil"/>
          <w:right w:val="nil"/>
          <w:between w:val="nil"/>
        </w:pBdr>
        <w:spacing w:after="80"/>
        <w:rPr>
          <w:sz w:val="29"/>
          <w:szCs w:val="29"/>
        </w:rPr>
      </w:pPr>
      <w:bookmarkStart w:id="4" w:name="_heading=h.rbuu13hk251t" w:colFirst="0" w:colLast="0"/>
      <w:bookmarkEnd w:id="4"/>
    </w:p>
    <w:p w14:paraId="19B45D05" w14:textId="77777777" w:rsidR="00836639" w:rsidRDefault="00000000">
      <w:pPr>
        <w:pStyle w:val="Ttulo1"/>
        <w:widowControl/>
        <w:numPr>
          <w:ilvl w:val="0"/>
          <w:numId w:val="1"/>
        </w:numPr>
        <w:spacing w:after="80"/>
        <w:rPr>
          <w:rFonts w:ascii="Garamond" w:eastAsia="Garamond" w:hAnsi="Garamond" w:cs="Garamond"/>
          <w:b/>
          <w:bCs/>
        </w:rPr>
      </w:pPr>
      <w:bookmarkStart w:id="5" w:name="_heading=h.yl0jqvq5lkp6" w:colFirst="0" w:colLast="0"/>
      <w:bookmarkEnd w:id="5"/>
      <w:proofErr w:type="spellStart"/>
      <w:r>
        <w:rPr>
          <w:rFonts w:ascii="Garamond" w:eastAsia="Garamond" w:hAnsi="Garamond" w:cs="Garamond"/>
          <w:b/>
          <w:bCs/>
          <w:color w:val="98361E"/>
        </w:rPr>
        <w:t>Financing</w:t>
      </w:r>
      <w:proofErr w:type="spellEnd"/>
    </w:p>
    <w:p w14:paraId="37614582" w14:textId="77777777" w:rsidR="00836639" w:rsidRDefault="00836639">
      <w:bookmarkStart w:id="6" w:name="_heading=h.nlhjvkyms7dn" w:colFirst="0" w:colLast="0"/>
      <w:bookmarkEnd w:id="6"/>
    </w:p>
    <w:p w14:paraId="29B46B03" w14:textId="77777777" w:rsidR="00836639" w:rsidRDefault="00000000">
      <w:pPr>
        <w:ind w:left="426" w:right="370"/>
        <w:jc w:val="both"/>
        <w:rPr>
          <w:sz w:val="20"/>
          <w:szCs w:val="20"/>
        </w:rPr>
      </w:pPr>
      <w:r>
        <w:rPr>
          <w:sz w:val="20"/>
          <w:szCs w:val="20"/>
        </w:rPr>
        <w:t xml:space="preserve">Este artículo es resultado de la investigación doctoral financiada por el programa ACIF de la Conselleria </w:t>
      </w:r>
      <w:proofErr w:type="spellStart"/>
      <w:r>
        <w:rPr>
          <w:sz w:val="20"/>
          <w:szCs w:val="20"/>
        </w:rPr>
        <w:t>d'Innovació</w:t>
      </w:r>
      <w:proofErr w:type="spellEnd"/>
      <w:r>
        <w:rPr>
          <w:sz w:val="20"/>
          <w:szCs w:val="20"/>
        </w:rPr>
        <w:t xml:space="preserve">, </w:t>
      </w:r>
      <w:proofErr w:type="spellStart"/>
      <w:r>
        <w:rPr>
          <w:sz w:val="20"/>
          <w:szCs w:val="20"/>
        </w:rPr>
        <w:t>Universitats</w:t>
      </w:r>
      <w:proofErr w:type="spellEnd"/>
      <w:r>
        <w:rPr>
          <w:sz w:val="20"/>
          <w:szCs w:val="20"/>
        </w:rPr>
        <w:t xml:space="preserve">, </w:t>
      </w:r>
      <w:proofErr w:type="spellStart"/>
      <w:r>
        <w:rPr>
          <w:sz w:val="20"/>
          <w:szCs w:val="20"/>
        </w:rPr>
        <w:t>Ciència</w:t>
      </w:r>
      <w:proofErr w:type="spellEnd"/>
      <w:r>
        <w:rPr>
          <w:sz w:val="20"/>
          <w:szCs w:val="20"/>
        </w:rPr>
        <w:t xml:space="preserve"> i </w:t>
      </w:r>
      <w:proofErr w:type="spellStart"/>
      <w:r>
        <w:rPr>
          <w:sz w:val="20"/>
          <w:szCs w:val="20"/>
        </w:rPr>
        <w:t>Societat</w:t>
      </w:r>
      <w:proofErr w:type="spellEnd"/>
      <w:r>
        <w:rPr>
          <w:sz w:val="20"/>
          <w:szCs w:val="20"/>
        </w:rPr>
        <w:t xml:space="preserve"> Digital de la Generalitat Valenciana y se inserta en el proyecto de investigación “Análisis de los efectos de la ficción audiovisual en los destinos turísticos y en las experiencias de los turistas (ADYTUR)” (PID2023-147875NB-I00).</w:t>
      </w:r>
    </w:p>
    <w:p w14:paraId="097A2351" w14:textId="77777777" w:rsidR="00836639" w:rsidRDefault="00836639">
      <w:pPr>
        <w:ind w:left="426" w:right="370"/>
        <w:jc w:val="both"/>
        <w:rPr>
          <w:sz w:val="20"/>
          <w:szCs w:val="20"/>
        </w:rPr>
      </w:pPr>
    </w:p>
    <w:p w14:paraId="2DA98A02" w14:textId="77777777" w:rsidR="00836639" w:rsidRDefault="00000000">
      <w:pPr>
        <w:ind w:left="426" w:right="370"/>
        <w:jc w:val="both"/>
        <w:rPr>
          <w:sz w:val="20"/>
          <w:szCs w:val="20"/>
        </w:rPr>
      </w:pPr>
      <w:r>
        <w:rPr>
          <w:sz w:val="20"/>
          <w:szCs w:val="20"/>
        </w:rPr>
        <w:t>Agradezco a los doctores Germán Llorca-Abad y Lourdes Canós-</w:t>
      </w:r>
      <w:proofErr w:type="spellStart"/>
      <w:r>
        <w:rPr>
          <w:sz w:val="20"/>
          <w:szCs w:val="20"/>
        </w:rPr>
        <w:t>Darós</w:t>
      </w:r>
      <w:proofErr w:type="spellEnd"/>
      <w:r>
        <w:rPr>
          <w:sz w:val="20"/>
          <w:szCs w:val="20"/>
        </w:rPr>
        <w:t xml:space="preserve"> su valiosa contribución en la dirección de dicha tesis doctoral.</w:t>
      </w:r>
    </w:p>
    <w:p w14:paraId="5C202F50" w14:textId="77777777" w:rsidR="00836639" w:rsidRDefault="00836639"/>
    <w:p w14:paraId="59C3FFEE" w14:textId="77777777" w:rsidR="00836639" w:rsidRDefault="00836639">
      <w:pPr>
        <w:widowControl/>
        <w:pBdr>
          <w:top w:val="nil"/>
          <w:left w:val="nil"/>
          <w:bottom w:val="nil"/>
          <w:right w:val="nil"/>
          <w:between w:val="nil"/>
        </w:pBdr>
        <w:spacing w:after="80"/>
        <w:rPr>
          <w:sz w:val="29"/>
          <w:szCs w:val="29"/>
        </w:rPr>
      </w:pPr>
    </w:p>
    <w:p w14:paraId="4F3E2E91" w14:textId="77777777" w:rsidR="00836639" w:rsidRDefault="00000000">
      <w:pPr>
        <w:widowControl/>
        <w:pBdr>
          <w:top w:val="nil"/>
          <w:left w:val="nil"/>
          <w:bottom w:val="nil"/>
          <w:right w:val="nil"/>
          <w:between w:val="nil"/>
        </w:pBdr>
        <w:spacing w:after="80"/>
        <w:ind w:left="2883"/>
        <w:rPr>
          <w:color w:val="000000"/>
          <w:sz w:val="20"/>
          <w:szCs w:val="20"/>
        </w:rPr>
      </w:pPr>
      <w:r>
        <w:rPr>
          <w:noProof/>
          <w:color w:val="000000"/>
          <w:sz w:val="20"/>
          <w:szCs w:val="20"/>
        </w:rPr>
        <w:drawing>
          <wp:inline distT="0" distB="0" distL="0" distR="0" wp14:anchorId="14F7C228" wp14:editId="7FE03A17">
            <wp:extent cx="1137272" cy="400050"/>
            <wp:effectExtent l="0" t="0" r="0" b="0"/>
            <wp:docPr id="418326743" name="image2.jpg" descr="Description: Macintosh HD:Users:Daniel:Desktop:licenciacc1.png"/>
            <wp:cNvGraphicFramePr/>
            <a:graphic xmlns:a="http://schemas.openxmlformats.org/drawingml/2006/main">
              <a:graphicData uri="http://schemas.openxmlformats.org/drawingml/2006/picture">
                <pic:pic xmlns:pic="http://schemas.openxmlformats.org/drawingml/2006/picture">
                  <pic:nvPicPr>
                    <pic:cNvPr id="0" name="image2.jpg" descr="Description: Macintosh HD:Users:Daniel:Desktop:licenciacc1.png"/>
                    <pic:cNvPicPr preferRelativeResize="0"/>
                  </pic:nvPicPr>
                  <pic:blipFill>
                    <a:blip r:embed="rId90"/>
                    <a:srcRect/>
                    <a:stretch>
                      <a:fillRect/>
                    </a:stretch>
                  </pic:blipFill>
                  <pic:spPr>
                    <a:xfrm>
                      <a:off x="0" y="0"/>
                      <a:ext cx="1137272" cy="400050"/>
                    </a:xfrm>
                    <a:prstGeom prst="rect">
                      <a:avLst/>
                    </a:prstGeom>
                    <a:ln/>
                  </pic:spPr>
                </pic:pic>
              </a:graphicData>
            </a:graphic>
          </wp:inline>
        </w:drawing>
      </w:r>
    </w:p>
    <w:p w14:paraId="1F8D5A1A" w14:textId="77777777" w:rsidR="00836639" w:rsidRPr="003E056B" w:rsidRDefault="00000000">
      <w:pPr>
        <w:widowControl/>
        <w:pBdr>
          <w:top w:val="nil"/>
          <w:left w:val="nil"/>
          <w:bottom w:val="nil"/>
          <w:right w:val="nil"/>
          <w:between w:val="nil"/>
        </w:pBdr>
        <w:spacing w:after="80"/>
        <w:ind w:left="647" w:right="684"/>
        <w:jc w:val="center"/>
        <w:rPr>
          <w:color w:val="000000"/>
          <w:sz w:val="18"/>
          <w:szCs w:val="18"/>
          <w:lang w:val="en-GB"/>
        </w:rPr>
      </w:pPr>
      <w:proofErr w:type="spellStart"/>
      <w:r w:rsidRPr="003E056B">
        <w:rPr>
          <w:color w:val="231F20"/>
          <w:sz w:val="18"/>
          <w:szCs w:val="18"/>
          <w:lang w:val="en-GB"/>
        </w:rPr>
        <w:t>Licencia</w:t>
      </w:r>
      <w:proofErr w:type="spellEnd"/>
      <w:r w:rsidRPr="003E056B">
        <w:rPr>
          <w:color w:val="231F20"/>
          <w:sz w:val="18"/>
          <w:szCs w:val="18"/>
          <w:lang w:val="en-GB"/>
        </w:rPr>
        <w:t xml:space="preserve"> Creative Commons</w:t>
      </w:r>
    </w:p>
    <w:p w14:paraId="0CC660BB" w14:textId="77777777" w:rsidR="00836639" w:rsidRPr="003E056B" w:rsidRDefault="00000000">
      <w:pPr>
        <w:widowControl/>
        <w:pBdr>
          <w:top w:val="nil"/>
          <w:left w:val="nil"/>
          <w:bottom w:val="nil"/>
          <w:right w:val="nil"/>
          <w:between w:val="nil"/>
        </w:pBdr>
        <w:spacing w:after="80" w:line="285" w:lineRule="auto"/>
        <w:ind w:left="2270" w:right="2309"/>
        <w:jc w:val="center"/>
        <w:rPr>
          <w:color w:val="000000"/>
          <w:sz w:val="18"/>
          <w:szCs w:val="18"/>
          <w:lang w:val="en-GB"/>
        </w:rPr>
      </w:pPr>
      <w:r w:rsidRPr="003E056B">
        <w:rPr>
          <w:color w:val="231F20"/>
          <w:sz w:val="18"/>
          <w:szCs w:val="18"/>
          <w:lang w:val="en-GB"/>
        </w:rPr>
        <w:t>Miguel Hernández Communication Journal mhjournal.org</w:t>
      </w:r>
    </w:p>
    <w:p w14:paraId="31798BC6" w14:textId="77777777" w:rsidR="00836639" w:rsidRPr="003E056B" w:rsidRDefault="00836639">
      <w:pPr>
        <w:widowControl/>
        <w:pBdr>
          <w:top w:val="nil"/>
          <w:left w:val="nil"/>
          <w:bottom w:val="nil"/>
          <w:right w:val="nil"/>
          <w:between w:val="nil"/>
        </w:pBdr>
        <w:spacing w:after="80"/>
        <w:rPr>
          <w:color w:val="000000"/>
          <w:sz w:val="20"/>
          <w:szCs w:val="20"/>
          <w:lang w:val="en-GB"/>
        </w:rPr>
      </w:pPr>
    </w:p>
    <w:p w14:paraId="1EF3FA5B" w14:textId="77777777" w:rsidR="00836639" w:rsidRPr="003E056B" w:rsidRDefault="00836639">
      <w:pPr>
        <w:widowControl/>
        <w:pBdr>
          <w:top w:val="nil"/>
          <w:left w:val="nil"/>
          <w:bottom w:val="nil"/>
          <w:right w:val="nil"/>
          <w:between w:val="nil"/>
        </w:pBdr>
        <w:spacing w:after="80"/>
        <w:rPr>
          <w:color w:val="000000"/>
          <w:sz w:val="20"/>
          <w:szCs w:val="20"/>
          <w:lang w:val="en-GB"/>
        </w:rPr>
      </w:pPr>
    </w:p>
    <w:p w14:paraId="10D83D38" w14:textId="77777777" w:rsidR="00836639" w:rsidRPr="003E056B" w:rsidRDefault="00836639">
      <w:pPr>
        <w:widowControl/>
        <w:pBdr>
          <w:top w:val="nil"/>
          <w:left w:val="nil"/>
          <w:bottom w:val="nil"/>
          <w:right w:val="nil"/>
          <w:between w:val="nil"/>
        </w:pBdr>
        <w:spacing w:after="80" w:line="285" w:lineRule="auto"/>
        <w:ind w:left="638" w:right="675"/>
        <w:jc w:val="both"/>
        <w:rPr>
          <w:color w:val="000000"/>
          <w:sz w:val="18"/>
          <w:szCs w:val="18"/>
          <w:lang w:val="en-GB"/>
        </w:rPr>
      </w:pPr>
    </w:p>
    <w:sectPr w:rsidR="00836639" w:rsidRPr="003E056B">
      <w:headerReference w:type="default" r:id="rId91"/>
      <w:footerReference w:type="default" r:id="rId92"/>
      <w:pgSz w:w="9640" w:h="13610"/>
      <w:pgMar w:top="1480" w:right="1000" w:bottom="1120" w:left="1040" w:header="1148" w:footer="9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F8223" w14:textId="77777777" w:rsidR="007171A3" w:rsidRDefault="007171A3">
      <w:r>
        <w:separator/>
      </w:r>
    </w:p>
  </w:endnote>
  <w:endnote w:type="continuationSeparator" w:id="0">
    <w:p w14:paraId="5ECF30DA" w14:textId="77777777" w:rsidR="007171A3" w:rsidRDefault="00717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EB Garamond">
    <w:charset w:val="00"/>
    <w:family w:val="auto"/>
    <w:pitch w:val="default"/>
    <w:embedRegular r:id="rId1" w:fontKey="{C9733856-D9EE-4066-BDA3-17FA89DFE027}"/>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A233D0AD-CDBA-4A48-8B38-1B5934A9EB29}"/>
    <w:embedBold r:id="rId3" w:fontKey="{2F1E62A9-979A-4D19-A62A-955CB41F3D41}"/>
    <w:embedItalic r:id="rId4" w:fontKey="{75EDCCAD-77F6-46EB-BDE8-04671B6CFAC0}"/>
    <w:embedBoldItalic r:id="rId5" w:fontKey="{0173217D-2210-4F87-A8B0-C020D83B7C6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36376121-8E35-42BD-815D-AA794D45B635}"/>
  </w:font>
  <w:font w:name="Georgia">
    <w:panose1 w:val="02040502050405020303"/>
    <w:charset w:val="00"/>
    <w:family w:val="roman"/>
    <w:pitch w:val="variable"/>
    <w:sig w:usb0="00000287" w:usb1="00000000" w:usb2="00000000" w:usb3="00000000" w:csb0="0000009F" w:csb1="00000000"/>
    <w:embedItalic r:id="rId7" w:fontKey="{227D9C53-1437-400A-A8EF-71438BBEDE58}"/>
  </w:font>
  <w:font w:name="Arial Narrow">
    <w:panose1 w:val="020B0606020202030204"/>
    <w:charset w:val="00"/>
    <w:family w:val="swiss"/>
    <w:pitch w:val="variable"/>
    <w:sig w:usb0="00000287" w:usb1="00000800" w:usb2="00000000" w:usb3="00000000" w:csb0="0000009F" w:csb1="00000000"/>
    <w:embedRegular r:id="rId8" w:fontKey="{9D625685-E013-4E51-8DB6-E9514F7190FF}"/>
    <w:embedBold r:id="rId9" w:fontKey="{D7C6A618-AE1D-4D73-A884-183C575027D9}"/>
  </w:font>
  <w:font w:name="Cambria">
    <w:panose1 w:val="02040503050406030204"/>
    <w:charset w:val="00"/>
    <w:family w:val="roman"/>
    <w:pitch w:val="variable"/>
    <w:sig w:usb0="E00006FF" w:usb1="420024FF" w:usb2="02000000" w:usb3="00000000" w:csb0="0000019F" w:csb1="00000000"/>
    <w:embedRegular r:id="rId10" w:fontKey="{E25058CF-EBA8-4147-9861-2E6E034AB88F}"/>
  </w:font>
  <w:font w:name="Calibri">
    <w:panose1 w:val="020F0502020204030204"/>
    <w:charset w:val="00"/>
    <w:family w:val="swiss"/>
    <w:pitch w:val="variable"/>
    <w:sig w:usb0="E4002EFF" w:usb1="C000247B" w:usb2="00000009" w:usb3="00000000" w:csb0="000001FF" w:csb1="00000000"/>
    <w:embedRegular r:id="rId11" w:fontKey="{85897A11-9DA9-4675-93FE-CD2CD472D5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CF40A" w14:textId="77777777" w:rsidR="00836639" w:rsidRDefault="00836639">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455CB" w14:textId="77777777" w:rsidR="00836639" w:rsidRDefault="00836639">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BF561" w14:textId="77777777" w:rsidR="00836639" w:rsidRDefault="00836639">
    <w:pPr>
      <w:pBdr>
        <w:top w:val="nil"/>
        <w:left w:val="nil"/>
        <w:bottom w:val="nil"/>
        <w:right w:val="nil"/>
        <w:between w:val="nil"/>
      </w:pBdr>
      <w:tabs>
        <w:tab w:val="center" w:pos="4252"/>
        <w:tab w:val="right" w:pos="8504"/>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C4388" w14:textId="77777777" w:rsidR="00836639"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04DE48A0" wp14:editId="5E94D66C">
              <wp:simplePos x="0" y="0"/>
              <wp:positionH relativeFrom="column">
                <wp:posOffset>2178050</wp:posOffset>
              </wp:positionH>
              <wp:positionV relativeFrom="paragraph">
                <wp:posOffset>7912100</wp:posOffset>
              </wp:positionV>
              <wp:extent cx="0" cy="12700"/>
              <wp:effectExtent l="0" t="0" r="0" b="0"/>
              <wp:wrapNone/>
              <wp:docPr id="418326740" name="Conector recto de flecha 418326740"/>
              <wp:cNvGraphicFramePr/>
              <a:graphic xmlns:a="http://schemas.openxmlformats.org/drawingml/2006/main">
                <a:graphicData uri="http://schemas.microsoft.com/office/word/2010/wordprocessingShape">
                  <wps:wsp>
                    <wps:cNvCnPr/>
                    <wps:spPr>
                      <a:xfrm>
                        <a:off x="5132958" y="3780000"/>
                        <a:ext cx="426085" cy="0"/>
                      </a:xfrm>
                      <a:prstGeom prst="straightConnector1">
                        <a:avLst/>
                      </a:prstGeom>
                      <a:noFill/>
                      <a:ln w="9525" cap="flat" cmpd="sng">
                        <a:solidFill>
                          <a:srgbClr val="80808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2178050</wp:posOffset>
              </wp:positionH>
              <wp:positionV relativeFrom="paragraph">
                <wp:posOffset>7912100</wp:posOffset>
              </wp:positionV>
              <wp:extent cx="0" cy="12700"/>
              <wp:effectExtent b="0" l="0" r="0" t="0"/>
              <wp:wrapNone/>
              <wp:docPr id="418326740"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0EF2E533" wp14:editId="174F8197">
              <wp:simplePos x="0" y="0"/>
              <wp:positionH relativeFrom="column">
                <wp:posOffset>2268538</wp:posOffset>
              </wp:positionH>
              <wp:positionV relativeFrom="paragraph">
                <wp:posOffset>7894638</wp:posOffset>
              </wp:positionV>
              <wp:extent cx="254635" cy="250190"/>
              <wp:effectExtent l="0" t="0" r="0" b="0"/>
              <wp:wrapNone/>
              <wp:docPr id="418326739" name="Rectángulo 418326739"/>
              <wp:cNvGraphicFramePr/>
              <a:graphic xmlns:a="http://schemas.openxmlformats.org/drawingml/2006/main">
                <a:graphicData uri="http://schemas.microsoft.com/office/word/2010/wordprocessingShape">
                  <wps:wsp>
                    <wps:cNvSpPr/>
                    <wps:spPr>
                      <a:xfrm>
                        <a:off x="5228208" y="3664430"/>
                        <a:ext cx="235585" cy="231140"/>
                      </a:xfrm>
                      <a:prstGeom prst="rect">
                        <a:avLst/>
                      </a:prstGeom>
                      <a:noFill/>
                      <a:ln>
                        <a:noFill/>
                      </a:ln>
                    </wps:spPr>
                    <wps:txbx>
                      <w:txbxContent>
                        <w:p w14:paraId="60AD53F1" w14:textId="77777777" w:rsidR="00836639" w:rsidRDefault="00000000">
                          <w:pPr>
                            <w:spacing w:before="20"/>
                            <w:ind w:left="60" w:firstLine="120"/>
                            <w:textDirection w:val="btLr"/>
                          </w:pPr>
                          <w:r>
                            <w:rPr>
                              <w:rFonts w:ascii="EB Garamond" w:eastAsia="EB Garamond" w:hAnsi="EB Garamond" w:cs="EB Garamond"/>
                              <w:color w:val="D49988"/>
                              <w:sz w:val="24"/>
                            </w:rPr>
                            <w:t xml:space="preserve"> PAGE 5</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2268538</wp:posOffset>
              </wp:positionH>
              <wp:positionV relativeFrom="paragraph">
                <wp:posOffset>7894638</wp:posOffset>
              </wp:positionV>
              <wp:extent cx="254635" cy="250190"/>
              <wp:effectExtent b="0" l="0" r="0" t="0"/>
              <wp:wrapNone/>
              <wp:docPr id="418326739"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254635" cy="25019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91821" w14:textId="77777777" w:rsidR="007171A3" w:rsidRDefault="007171A3">
      <w:r>
        <w:separator/>
      </w:r>
    </w:p>
  </w:footnote>
  <w:footnote w:type="continuationSeparator" w:id="0">
    <w:p w14:paraId="56D8CA23" w14:textId="77777777" w:rsidR="007171A3" w:rsidRDefault="007171A3">
      <w:r>
        <w:continuationSeparator/>
      </w:r>
    </w:p>
  </w:footnote>
  <w:footnote w:id="1">
    <w:p w14:paraId="602B29D6" w14:textId="77777777" w:rsidR="00836639" w:rsidRPr="003E056B" w:rsidRDefault="00000000">
      <w:pPr>
        <w:pBdr>
          <w:top w:val="nil"/>
          <w:left w:val="nil"/>
          <w:bottom w:val="nil"/>
          <w:right w:val="nil"/>
          <w:between w:val="nil"/>
        </w:pBdr>
        <w:ind w:left="426" w:right="370"/>
        <w:jc w:val="both"/>
        <w:rPr>
          <w:color w:val="000000"/>
          <w:sz w:val="20"/>
          <w:szCs w:val="20"/>
          <w:lang w:val="en-GB"/>
        </w:rPr>
      </w:pPr>
      <w:r>
        <w:rPr>
          <w:vertAlign w:val="superscript"/>
        </w:rPr>
        <w:footnoteRef/>
      </w:r>
      <w:r w:rsidRPr="003E056B">
        <w:rPr>
          <w:color w:val="000000"/>
          <w:sz w:val="20"/>
          <w:szCs w:val="20"/>
          <w:lang w:val="en-GB"/>
        </w:rPr>
        <w:t xml:space="preserve"> </w:t>
      </w:r>
      <w:r w:rsidRPr="003E056B">
        <w:rPr>
          <w:sz w:val="20"/>
          <w:szCs w:val="20"/>
          <w:lang w:val="en-GB"/>
        </w:rPr>
        <w:t>A framework of local leadership, social capital, and territorial identity that drives socioeconomic transformations, especially in contexts with structural disadvantages (Organisation for Economic Co-operation and Development,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6B69D" w14:textId="77777777" w:rsidR="00836639" w:rsidRDefault="00836639">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BE277" w14:textId="07C7CF09" w:rsidR="00836639" w:rsidRPr="003E056B" w:rsidRDefault="00000000">
    <w:pPr>
      <w:spacing w:before="20"/>
      <w:ind w:left="20" w:firstLine="40"/>
      <w:jc w:val="center"/>
      <w:rPr>
        <w:color w:val="8E1400"/>
        <w:lang w:val="en-GB"/>
      </w:rPr>
    </w:pPr>
    <w:proofErr w:type="spellStart"/>
    <w:r w:rsidRPr="003E056B">
      <w:rPr>
        <w:rFonts w:ascii="EB Garamond" w:eastAsia="EB Garamond" w:hAnsi="EB Garamond" w:cs="EB Garamond"/>
        <w:color w:val="8E1400"/>
        <w:sz w:val="20"/>
        <w:szCs w:val="20"/>
        <w:lang w:val="en-GB"/>
      </w:rPr>
      <w:t>MHJournal</w:t>
    </w:r>
    <w:proofErr w:type="spellEnd"/>
    <w:r w:rsidRPr="003E056B">
      <w:rPr>
        <w:rFonts w:ascii="EB Garamond" w:eastAsia="EB Garamond" w:hAnsi="EB Garamond" w:cs="EB Garamond"/>
        <w:color w:val="8E1400"/>
        <w:sz w:val="20"/>
        <w:szCs w:val="20"/>
        <w:lang w:val="en-GB"/>
      </w:rPr>
      <w:t xml:space="preserve"> Vol. 17 (1) | </w:t>
    </w:r>
    <w:r w:rsidR="003E056B" w:rsidRPr="003E056B">
      <w:rPr>
        <w:rFonts w:ascii="EB Garamond" w:eastAsia="EB Garamond" w:hAnsi="EB Garamond" w:cs="EB Garamond"/>
        <w:color w:val="8E1400"/>
        <w:sz w:val="20"/>
        <w:szCs w:val="20"/>
        <w:lang w:val="en-GB"/>
      </w:rPr>
      <w:t>Year</w:t>
    </w:r>
    <w:r w:rsidRPr="003E056B">
      <w:rPr>
        <w:rFonts w:ascii="EB Garamond" w:eastAsia="EB Garamond" w:hAnsi="EB Garamond" w:cs="EB Garamond"/>
        <w:color w:val="8E1400"/>
        <w:sz w:val="20"/>
        <w:szCs w:val="20"/>
        <w:lang w:val="en-GB"/>
      </w:rPr>
      <w:t xml:space="preserve"> 2026 - </w:t>
    </w:r>
    <w:r w:rsidR="003E056B" w:rsidRPr="003E056B">
      <w:rPr>
        <w:rFonts w:ascii="EB Garamond" w:eastAsia="EB Garamond" w:hAnsi="EB Garamond" w:cs="EB Garamond"/>
        <w:color w:val="8E1400"/>
        <w:sz w:val="20"/>
        <w:szCs w:val="20"/>
        <w:lang w:val="en-GB"/>
      </w:rPr>
      <w:t>Article</w:t>
    </w:r>
    <w:r w:rsidRPr="003E056B">
      <w:rPr>
        <w:rFonts w:ascii="EB Garamond" w:eastAsia="EB Garamond" w:hAnsi="EB Garamond" w:cs="EB Garamond"/>
        <w:color w:val="8E1400"/>
        <w:sz w:val="20"/>
        <w:szCs w:val="20"/>
        <w:lang w:val="en-GB"/>
      </w:rPr>
      <w:t xml:space="preserve"> </w:t>
    </w:r>
    <w:r w:rsidR="003E056B" w:rsidRPr="003E056B">
      <w:rPr>
        <w:rFonts w:ascii="EB Garamond" w:eastAsia="EB Garamond" w:hAnsi="EB Garamond" w:cs="EB Garamond"/>
        <w:color w:val="8E1400"/>
        <w:sz w:val="20"/>
        <w:szCs w:val="20"/>
        <w:lang w:val="en-GB"/>
      </w:rPr>
      <w:t>No.</w:t>
    </w:r>
    <w:r w:rsidRPr="003E056B">
      <w:rPr>
        <w:rFonts w:ascii="EB Garamond" w:eastAsia="EB Garamond" w:hAnsi="EB Garamond" w:cs="EB Garamond"/>
        <w:color w:val="8E1400"/>
        <w:sz w:val="20"/>
        <w:szCs w:val="20"/>
        <w:lang w:val="en-GB"/>
      </w:rPr>
      <w:t xml:space="preserve"> 4 (282) - </w:t>
    </w:r>
    <w:r w:rsidR="003E056B" w:rsidRPr="003E056B">
      <w:rPr>
        <w:rFonts w:ascii="EB Garamond" w:eastAsia="EB Garamond" w:hAnsi="EB Garamond" w:cs="EB Garamond"/>
        <w:color w:val="8E1400"/>
        <w:sz w:val="20"/>
        <w:szCs w:val="20"/>
        <w:lang w:val="en-GB"/>
      </w:rPr>
      <w:t>Pages</w:t>
    </w:r>
    <w:r w:rsidRPr="003E056B">
      <w:rPr>
        <w:rFonts w:ascii="EB Garamond" w:eastAsia="EB Garamond" w:hAnsi="EB Garamond" w:cs="EB Garamond"/>
        <w:color w:val="8E1400"/>
        <w:sz w:val="20"/>
        <w:szCs w:val="20"/>
        <w:lang w:val="en-GB"/>
      </w:rPr>
      <w:t xml:space="preserve"> 81 </w:t>
    </w:r>
    <w:r w:rsidR="003E056B" w:rsidRPr="003E056B">
      <w:rPr>
        <w:rFonts w:ascii="EB Garamond" w:eastAsia="EB Garamond" w:hAnsi="EB Garamond" w:cs="EB Garamond"/>
        <w:color w:val="8E1400"/>
        <w:sz w:val="20"/>
        <w:szCs w:val="20"/>
        <w:lang w:val="en-GB"/>
      </w:rPr>
      <w:t>to</w:t>
    </w:r>
    <w:r w:rsidRPr="003E056B">
      <w:rPr>
        <w:rFonts w:ascii="EB Garamond" w:eastAsia="EB Garamond" w:hAnsi="EB Garamond" w:cs="EB Garamond"/>
        <w:color w:val="8E1400"/>
        <w:sz w:val="20"/>
        <w:szCs w:val="20"/>
        <w:lang w:val="en-GB"/>
      </w:rPr>
      <w:t xml:space="preserve"> 101 - mhjournal.org</w:t>
    </w:r>
  </w:p>
  <w:p w14:paraId="657BE34B" w14:textId="77777777" w:rsidR="00836639" w:rsidRPr="003E056B" w:rsidRDefault="00836639">
    <w:pPr>
      <w:pBdr>
        <w:top w:val="nil"/>
        <w:left w:val="nil"/>
        <w:bottom w:val="nil"/>
        <w:right w:val="nil"/>
        <w:between w:val="nil"/>
      </w:pBdr>
      <w:spacing w:line="14" w:lineRule="auto"/>
      <w:rPr>
        <w:color w:val="000000"/>
        <w:sz w:val="20"/>
        <w:szCs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33D58" w14:textId="77777777" w:rsidR="00836639" w:rsidRDefault="00836639">
    <w:pPr>
      <w:pBdr>
        <w:top w:val="nil"/>
        <w:left w:val="nil"/>
        <w:bottom w:val="nil"/>
        <w:right w:val="nil"/>
        <w:between w:val="nil"/>
      </w:pBdr>
      <w:tabs>
        <w:tab w:val="center" w:pos="4252"/>
        <w:tab w:val="right" w:pos="8504"/>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BF52" w14:textId="53BC70EB" w:rsidR="00836639" w:rsidRPr="003E056B" w:rsidRDefault="003E056B">
    <w:pPr>
      <w:spacing w:before="20"/>
      <w:ind w:left="20" w:firstLine="40"/>
      <w:jc w:val="center"/>
      <w:rPr>
        <w:color w:val="822108"/>
        <w:lang w:val="en-GB"/>
      </w:rPr>
    </w:pPr>
    <w:proofErr w:type="spellStart"/>
    <w:r w:rsidRPr="003E056B">
      <w:rPr>
        <w:rFonts w:ascii="EB Garamond" w:eastAsia="EB Garamond" w:hAnsi="EB Garamond" w:cs="EB Garamond"/>
        <w:color w:val="822108"/>
        <w:sz w:val="20"/>
        <w:szCs w:val="20"/>
        <w:lang w:val="en-GB"/>
      </w:rPr>
      <w:t>MHJournal</w:t>
    </w:r>
    <w:proofErr w:type="spellEnd"/>
    <w:r w:rsidRPr="003E056B">
      <w:rPr>
        <w:rFonts w:ascii="EB Garamond" w:eastAsia="EB Garamond" w:hAnsi="EB Garamond" w:cs="EB Garamond"/>
        <w:color w:val="822108"/>
        <w:sz w:val="20"/>
        <w:szCs w:val="20"/>
        <w:lang w:val="en-GB"/>
      </w:rPr>
      <w:t xml:space="preserve"> Vol. 17 (1) | Year 2026 - Article No. 4 (282) - Pages 81 to 101 -mhjournal.org</w:t>
    </w:r>
  </w:p>
  <w:p w14:paraId="11BE8309" w14:textId="77777777" w:rsidR="00836639" w:rsidRPr="003E056B" w:rsidRDefault="00836639">
    <w:pPr>
      <w:pBdr>
        <w:top w:val="nil"/>
        <w:left w:val="nil"/>
        <w:bottom w:val="nil"/>
        <w:right w:val="nil"/>
        <w:between w:val="nil"/>
      </w:pBdr>
      <w:spacing w:line="14" w:lineRule="auto"/>
      <w:rPr>
        <w:color w:val="000000"/>
        <w:sz w:val="20"/>
        <w:szCs w:val="2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00761E"/>
    <w:multiLevelType w:val="multilevel"/>
    <w:tmpl w:val="68D63B08"/>
    <w:lvl w:ilvl="0">
      <w:start w:val="1"/>
      <w:numFmt w:val="decimal"/>
      <w:lvlText w:val="%1."/>
      <w:lvlJc w:val="left"/>
      <w:pPr>
        <w:ind w:left="810" w:hanging="150"/>
      </w:pPr>
      <w:rPr>
        <w:rFonts w:ascii="EB Garamond" w:eastAsia="EB Garamond" w:hAnsi="EB Garamond" w:cs="EB Garamond"/>
        <w:b w:val="0"/>
        <w:bCs w:val="0"/>
        <w:i w:val="0"/>
        <w:iCs w:val="0"/>
        <w:color w:val="808080"/>
        <w:sz w:val="16"/>
        <w:szCs w:val="16"/>
      </w:rPr>
    </w:lvl>
    <w:lvl w:ilvl="1">
      <w:start w:val="1"/>
      <w:numFmt w:val="decimal"/>
      <w:lvlText w:val="%1.%2."/>
      <w:lvlJc w:val="left"/>
      <w:pPr>
        <w:ind w:left="660" w:hanging="263"/>
      </w:pPr>
      <w:rPr>
        <w:rFonts w:ascii="EB Garamond" w:eastAsia="EB Garamond" w:hAnsi="EB Garamond" w:cs="EB Garamond"/>
        <w:b w:val="0"/>
        <w:bCs w:val="0"/>
        <w:i w:val="0"/>
        <w:iCs w:val="0"/>
        <w:color w:val="999999"/>
        <w:sz w:val="16"/>
        <w:szCs w:val="16"/>
      </w:rPr>
    </w:lvl>
    <w:lvl w:ilvl="2">
      <w:numFmt w:val="bullet"/>
      <w:lvlText w:val="•"/>
      <w:lvlJc w:val="left"/>
      <w:pPr>
        <w:ind w:left="1136" w:hanging="263"/>
      </w:pPr>
    </w:lvl>
    <w:lvl w:ilvl="3">
      <w:numFmt w:val="bullet"/>
      <w:lvlText w:val="•"/>
      <w:lvlJc w:val="left"/>
      <w:pPr>
        <w:ind w:left="1453" w:hanging="262"/>
      </w:pPr>
    </w:lvl>
    <w:lvl w:ilvl="4">
      <w:numFmt w:val="bullet"/>
      <w:lvlText w:val="•"/>
      <w:lvlJc w:val="left"/>
      <w:pPr>
        <w:ind w:left="1769" w:hanging="263"/>
      </w:pPr>
    </w:lvl>
    <w:lvl w:ilvl="5">
      <w:numFmt w:val="bullet"/>
      <w:lvlText w:val="•"/>
      <w:lvlJc w:val="left"/>
      <w:pPr>
        <w:ind w:left="2086" w:hanging="263"/>
      </w:pPr>
    </w:lvl>
    <w:lvl w:ilvl="6">
      <w:numFmt w:val="bullet"/>
      <w:lvlText w:val="•"/>
      <w:lvlJc w:val="left"/>
      <w:pPr>
        <w:ind w:left="2402" w:hanging="263"/>
      </w:pPr>
    </w:lvl>
    <w:lvl w:ilvl="7">
      <w:numFmt w:val="bullet"/>
      <w:lvlText w:val="•"/>
      <w:lvlJc w:val="left"/>
      <w:pPr>
        <w:ind w:left="2719" w:hanging="263"/>
      </w:pPr>
    </w:lvl>
    <w:lvl w:ilvl="8">
      <w:numFmt w:val="bullet"/>
      <w:lvlText w:val="•"/>
      <w:lvlJc w:val="left"/>
      <w:pPr>
        <w:ind w:left="3035" w:hanging="263"/>
      </w:pPr>
    </w:lvl>
  </w:abstractNum>
  <w:abstractNum w:abstractNumId="1" w15:restartNumberingAfterBreak="0">
    <w:nsid w:val="7F040AD9"/>
    <w:multiLevelType w:val="multilevel"/>
    <w:tmpl w:val="40EE6F22"/>
    <w:lvl w:ilvl="0">
      <w:start w:val="1"/>
      <w:numFmt w:val="decimal"/>
      <w:lvlText w:val="%1."/>
      <w:lvlJc w:val="left"/>
      <w:pPr>
        <w:ind w:left="786" w:hanging="360"/>
      </w:pPr>
      <w:rPr>
        <w:rFonts w:ascii="Times New Roman" w:eastAsia="Times New Roman" w:hAnsi="Times New Roman" w:cs="Times New Roman"/>
        <w:b/>
        <w:bCs/>
        <w:color w:val="984806"/>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16cid:durableId="1226525681">
    <w:abstractNumId w:val="1"/>
  </w:num>
  <w:num w:numId="2" w16cid:durableId="213082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639"/>
    <w:rsid w:val="003E056B"/>
    <w:rsid w:val="007171A3"/>
    <w:rsid w:val="00836639"/>
    <w:rsid w:val="00CA0A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2A3AA"/>
  <w15:docId w15:val="{FF4211E2-0881-4831-B58C-8B7623CEC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e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904"/>
      <w:outlineLvl w:val="0"/>
    </w:pPr>
    <w:rPr>
      <w:rFonts w:ascii="Arial" w:eastAsia="Arial" w:hAnsi="Arial" w:cs="Arial"/>
      <w:sz w:val="24"/>
      <w:szCs w:val="24"/>
    </w:rPr>
  </w:style>
  <w:style w:type="paragraph" w:styleId="Ttulo2">
    <w:name w:val="heading 2"/>
    <w:basedOn w:val="Normal"/>
    <w:next w:val="Normal"/>
    <w:uiPriority w:val="9"/>
    <w:unhideWhenUsed/>
    <w:qFormat/>
    <w:pPr>
      <w:keepNext/>
      <w:keepLines/>
      <w:spacing w:after="80"/>
      <w:ind w:left="904" w:right="370"/>
      <w:jc w:val="both"/>
      <w:outlineLvl w:val="1"/>
    </w:pPr>
    <w:rPr>
      <w:i/>
      <w:iCs/>
      <w:color w:val="98361E"/>
      <w:sz w:val="24"/>
      <w:szCs w:val="24"/>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117"/>
      <w:ind w:left="638" w:right="736"/>
    </w:pPr>
    <w:rPr>
      <w:sz w:val="32"/>
      <w:szCs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Prrafodelista">
    <w:name w:val="List Paragraph"/>
    <w:basedOn w:val="Normal"/>
    <w:uiPriority w:val="1"/>
    <w:qFormat/>
    <w:pPr>
      <w:ind w:left="638"/>
    </w:pPr>
    <w:rPr>
      <w:rFonts w:ascii="Minion Pro" w:eastAsia="Minion Pro" w:hAnsi="Minion Pro" w:cs="Minion Pro"/>
    </w:r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E0533D"/>
    <w:pPr>
      <w:tabs>
        <w:tab w:val="center" w:pos="4252"/>
        <w:tab w:val="right" w:pos="8504"/>
      </w:tabs>
    </w:pPr>
  </w:style>
  <w:style w:type="character" w:customStyle="1" w:styleId="EncabezadoCar">
    <w:name w:val="Encabezado Car"/>
    <w:basedOn w:val="Fuentedeprrafopredeter"/>
    <w:link w:val="Encabezado"/>
    <w:uiPriority w:val="99"/>
    <w:rsid w:val="00E0533D"/>
    <w:rPr>
      <w:rFonts w:ascii="Garamond" w:eastAsia="Garamond" w:hAnsi="Garamond" w:cs="Garamond"/>
      <w:lang w:val="es-ES"/>
    </w:rPr>
  </w:style>
  <w:style w:type="paragraph" w:styleId="Piedepgina">
    <w:name w:val="footer"/>
    <w:basedOn w:val="Normal"/>
    <w:link w:val="PiedepginaCar"/>
    <w:uiPriority w:val="99"/>
    <w:unhideWhenUsed/>
    <w:rsid w:val="00E0533D"/>
    <w:pPr>
      <w:tabs>
        <w:tab w:val="center" w:pos="4252"/>
        <w:tab w:val="right" w:pos="8504"/>
      </w:tabs>
    </w:pPr>
  </w:style>
  <w:style w:type="character" w:customStyle="1" w:styleId="PiedepginaCar">
    <w:name w:val="Pie de página Car"/>
    <w:basedOn w:val="Fuentedeprrafopredeter"/>
    <w:link w:val="Piedepgina"/>
    <w:uiPriority w:val="99"/>
    <w:rsid w:val="00E0533D"/>
    <w:rPr>
      <w:rFonts w:ascii="Garamond" w:eastAsia="Garamond" w:hAnsi="Garamond" w:cs="Garamond"/>
      <w:lang w:val="es-ES"/>
    </w:rPr>
  </w:style>
  <w:style w:type="character" w:styleId="Hipervnculo">
    <w:name w:val="Hyperlink"/>
    <w:basedOn w:val="Fuentedeprrafopredeter"/>
    <w:uiPriority w:val="99"/>
    <w:unhideWhenUsed/>
    <w:rsid w:val="0005535A"/>
    <w:rPr>
      <w:color w:val="0000FF" w:themeColor="hyperlink"/>
      <w:u w:val="single"/>
    </w:rPr>
  </w:style>
  <w:style w:type="character" w:styleId="Refdecomentario">
    <w:name w:val="annotation reference"/>
    <w:basedOn w:val="Fuentedeprrafopredeter"/>
    <w:uiPriority w:val="99"/>
    <w:semiHidden/>
    <w:unhideWhenUsed/>
    <w:rsid w:val="00A26873"/>
    <w:rPr>
      <w:sz w:val="16"/>
      <w:szCs w:val="16"/>
    </w:rPr>
  </w:style>
  <w:style w:type="paragraph" w:styleId="Textocomentario">
    <w:name w:val="annotation text"/>
    <w:basedOn w:val="Normal"/>
    <w:link w:val="TextocomentarioCar"/>
    <w:uiPriority w:val="99"/>
    <w:semiHidden/>
    <w:unhideWhenUsed/>
    <w:rsid w:val="00A26873"/>
    <w:rPr>
      <w:sz w:val="20"/>
      <w:szCs w:val="20"/>
    </w:rPr>
  </w:style>
  <w:style w:type="character" w:customStyle="1" w:styleId="TextocomentarioCar">
    <w:name w:val="Texto comentario Car"/>
    <w:basedOn w:val="Fuentedeprrafopredeter"/>
    <w:link w:val="Textocomentario"/>
    <w:uiPriority w:val="99"/>
    <w:semiHidden/>
    <w:rsid w:val="00A26873"/>
    <w:rPr>
      <w:rFonts w:ascii="Garamond" w:eastAsia="Garamond" w:hAnsi="Garamond" w:cs="Garamond"/>
      <w:sz w:val="20"/>
      <w:szCs w:val="20"/>
      <w:lang w:val="es-ES"/>
    </w:rPr>
  </w:style>
  <w:style w:type="paragraph" w:styleId="Asuntodelcomentario">
    <w:name w:val="annotation subject"/>
    <w:basedOn w:val="Textocomentario"/>
    <w:next w:val="Textocomentario"/>
    <w:link w:val="AsuntodelcomentarioCar"/>
    <w:uiPriority w:val="99"/>
    <w:semiHidden/>
    <w:unhideWhenUsed/>
    <w:rsid w:val="00A26873"/>
    <w:rPr>
      <w:b/>
      <w:bCs/>
    </w:rPr>
  </w:style>
  <w:style w:type="character" w:customStyle="1" w:styleId="AsuntodelcomentarioCar">
    <w:name w:val="Asunto del comentario Car"/>
    <w:basedOn w:val="TextocomentarioCar"/>
    <w:link w:val="Asuntodelcomentario"/>
    <w:uiPriority w:val="99"/>
    <w:semiHidden/>
    <w:rsid w:val="00A26873"/>
    <w:rPr>
      <w:rFonts w:ascii="Garamond" w:eastAsia="Garamond" w:hAnsi="Garamond" w:cs="Garamond"/>
      <w:b/>
      <w:bCs/>
      <w:sz w:val="20"/>
      <w:szCs w:val="20"/>
      <w:lang w:val="es-ES"/>
    </w:rPr>
  </w:style>
  <w:style w:type="paragraph" w:styleId="Textodeglobo">
    <w:name w:val="Balloon Text"/>
    <w:basedOn w:val="Normal"/>
    <w:link w:val="TextodegloboCar"/>
    <w:uiPriority w:val="99"/>
    <w:semiHidden/>
    <w:unhideWhenUsed/>
    <w:rsid w:val="00A2687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6873"/>
    <w:rPr>
      <w:rFonts w:ascii="Segoe UI" w:eastAsia="Garamond" w:hAnsi="Segoe UI" w:cs="Segoe UI"/>
      <w:sz w:val="18"/>
      <w:szCs w:val="18"/>
      <w:lang w:val="es-ES"/>
    </w:rPr>
  </w:style>
  <w:style w:type="table" w:styleId="Tablaconcuadrcula">
    <w:name w:val="Table Grid"/>
    <w:basedOn w:val="Tablanormal"/>
    <w:uiPriority w:val="39"/>
    <w:rsid w:val="00865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53BB9"/>
    <w:rPr>
      <w:sz w:val="20"/>
      <w:szCs w:val="20"/>
    </w:rPr>
  </w:style>
  <w:style w:type="character" w:customStyle="1" w:styleId="TextonotapieCar">
    <w:name w:val="Texto nota pie Car"/>
    <w:basedOn w:val="Fuentedeprrafopredeter"/>
    <w:link w:val="Textonotapie"/>
    <w:uiPriority w:val="99"/>
    <w:semiHidden/>
    <w:rsid w:val="00853BB9"/>
    <w:rPr>
      <w:rFonts w:ascii="Garamond" w:eastAsia="Garamond" w:hAnsi="Garamond" w:cs="Garamond"/>
      <w:sz w:val="20"/>
      <w:szCs w:val="20"/>
      <w:lang w:val="es-ES"/>
    </w:rPr>
  </w:style>
  <w:style w:type="character" w:styleId="Refdenotaalpie">
    <w:name w:val="footnote reference"/>
    <w:basedOn w:val="Fuentedeprrafopredeter"/>
    <w:uiPriority w:val="99"/>
    <w:semiHidden/>
    <w:unhideWhenUsed/>
    <w:rsid w:val="00853BB9"/>
    <w:rPr>
      <w:vertAlign w:val="superscript"/>
    </w:rPr>
  </w:style>
  <w:style w:type="character" w:customStyle="1" w:styleId="authorname">
    <w:name w:val="authorname"/>
    <w:basedOn w:val="Fuentedeprrafopredeter"/>
    <w:rsid w:val="00B80317"/>
  </w:style>
  <w:style w:type="character" w:customStyle="1" w:styleId="separator">
    <w:name w:val="separator"/>
    <w:basedOn w:val="Fuentedeprrafopredeter"/>
    <w:rsid w:val="00B80317"/>
  </w:style>
  <w:style w:type="character" w:customStyle="1" w:styleId="Fecha1">
    <w:name w:val="Fecha1"/>
    <w:basedOn w:val="Fuentedeprrafopredeter"/>
    <w:rsid w:val="00B80317"/>
  </w:style>
  <w:style w:type="character" w:customStyle="1" w:styleId="arttitle">
    <w:name w:val="art_title"/>
    <w:basedOn w:val="Fuentedeprrafopredeter"/>
    <w:rsid w:val="00B80317"/>
  </w:style>
  <w:style w:type="character" w:customStyle="1" w:styleId="serialtitle">
    <w:name w:val="serial_title"/>
    <w:basedOn w:val="Fuentedeprrafopredeter"/>
    <w:rsid w:val="00B80317"/>
  </w:style>
  <w:style w:type="character" w:customStyle="1" w:styleId="volumeissue">
    <w:name w:val="volume_issue"/>
    <w:basedOn w:val="Fuentedeprrafopredeter"/>
    <w:rsid w:val="00B80317"/>
  </w:style>
  <w:style w:type="character" w:customStyle="1" w:styleId="pagerange">
    <w:name w:val="page_range"/>
    <w:basedOn w:val="Fuentedeprrafopredeter"/>
    <w:rsid w:val="00B80317"/>
  </w:style>
  <w:style w:type="character" w:customStyle="1" w:styleId="doilink">
    <w:name w:val="doi_link"/>
    <w:basedOn w:val="Fuentedeprrafopredeter"/>
    <w:rsid w:val="00B80317"/>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character" w:customStyle="1" w:styleId="Mencinsinresolver1">
    <w:name w:val="Mención sin resolver1"/>
    <w:basedOn w:val="Fuentedeprrafopredeter"/>
    <w:uiPriority w:val="99"/>
    <w:semiHidden/>
    <w:unhideWhenUsed/>
    <w:rsid w:val="00815F88"/>
    <w:rPr>
      <w:color w:val="605E5C"/>
      <w:shd w:val="clear" w:color="auto" w:fill="E1DFDD"/>
    </w:rPr>
  </w:style>
  <w:style w:type="character" w:styleId="nfasis">
    <w:name w:val="Emphasis"/>
    <w:basedOn w:val="Fuentedeprrafopredeter"/>
    <w:uiPriority w:val="20"/>
    <w:qFormat/>
    <w:rsid w:val="007C14D2"/>
    <w:rPr>
      <w:i/>
      <w:iCs/>
    </w:rPr>
  </w:style>
  <w:style w:type="character" w:styleId="Mencinsinresolver">
    <w:name w:val="Unresolved Mention"/>
    <w:basedOn w:val="Fuentedeprrafopredeter"/>
    <w:uiPriority w:val="99"/>
    <w:semiHidden/>
    <w:unhideWhenUsed/>
    <w:rsid w:val="00524C05"/>
    <w:rPr>
      <w:color w:val="605E5C"/>
      <w:shd w:val="clear" w:color="auto" w:fill="E1DFDD"/>
    </w:rPr>
  </w:style>
  <w:style w:type="paragraph" w:customStyle="1" w:styleId="Contenidodelmarco">
    <w:name w:val="Contenido del marco"/>
    <w:basedOn w:val="Normal"/>
    <w:qFormat/>
    <w:rsid w:val="00A801E9"/>
    <w:pPr>
      <w:widowControl/>
      <w:suppressAutoHyphens/>
    </w:pPr>
    <w:rPr>
      <w:rFonts w:ascii="Times New Roman" w:eastAsia="Times New Roman" w:hAnsi="Times New Roman" w:cs="Times New Roman"/>
      <w:sz w:val="24"/>
      <w:szCs w:val="24"/>
      <w:lang w:eastAsia="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08/14635779810212356" TargetMode="External"/><Relationship Id="rId21" Type="http://schemas.openxmlformats.org/officeDocument/2006/relationships/hyperlink" Target="https://andaluciafilm.com/guia-de-produccion-audiovisual/" TargetMode="External"/><Relationship Id="rId42" Type="http://schemas.openxmlformats.org/officeDocument/2006/relationships/hyperlink" Target="http://digitalcommons.www.na-businesspress.com/JMPP/Jackson_Final_Revised_Web.pdf" TargetMode="External"/><Relationship Id="rId47" Type="http://schemas.openxmlformats.org/officeDocument/2006/relationships/hyperlink" Target="https://content.knightfrank.com/research/2439/documents/en/uk-film-and-television-studios-market-2023-10567.pdf" TargetMode="External"/><Relationship Id="rId63" Type="http://schemas.openxmlformats.org/officeDocument/2006/relationships/hyperlink" Target="https://comunica.gva.es/es/detalle?id=388798837&amp;site=373409432" TargetMode="External"/><Relationship Id="rId68" Type="http://schemas.openxmlformats.org/officeDocument/2006/relationships/hyperlink" Target="https://link.springer.com/article/10.1007/s40685-017-0045-z" TargetMode="External"/><Relationship Id="rId84" Type="http://schemas.openxmlformats.org/officeDocument/2006/relationships/hyperlink" Target="https://bit.ly/49oOKpx" TargetMode="External"/><Relationship Id="rId89" Type="http://schemas.openxmlformats.org/officeDocument/2006/relationships/hyperlink" Target="https://bit.ly/4pywWOS"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eur-lex.europa.eu/LexUriServ/LexUriServ.do?uri=OJ:C:2013:332:0001:0011:EN:PDF" TargetMode="External"/><Relationship Id="rId37" Type="http://schemas.openxmlformats.org/officeDocument/2006/relationships/hyperlink" Target="https://journals.sagepub.com/doi/10.1177/1077800405284363" TargetMode="External"/><Relationship Id="rId53" Type="http://schemas.openxmlformats.org/officeDocument/2006/relationships/hyperlink" Target="https://ssrn.com/abstract=1495091" TargetMode="External"/><Relationship Id="rId58" Type="http://schemas.openxmlformats.org/officeDocument/2006/relationships/hyperlink" Target="https://peniscola.es/film-office/" TargetMode="External"/><Relationship Id="rId74" Type="http://schemas.openxmlformats.org/officeDocument/2006/relationships/hyperlink" Target="https://iwansuharyanto.wordpress.com/wp-content/uploads/2013/04/robert_k-_yin_case_study_research_design_and_mebookfi-org.pdf" TargetMode="External"/><Relationship Id="rId79" Type="http://schemas.openxmlformats.org/officeDocument/2006/relationships/hyperlink" Target="https://bit.ly/4pvL9Mv" TargetMode="External"/><Relationship Id="rId5" Type="http://schemas.openxmlformats.org/officeDocument/2006/relationships/webSettings" Target="webSettings.xml"/><Relationship Id="rId90" Type="http://schemas.openxmlformats.org/officeDocument/2006/relationships/image" Target="media/image3.jpg"/><Relationship Id="rId22" Type="http://schemas.openxmlformats.org/officeDocument/2006/relationships/hyperlink" Target="https://afci.org/wp-content/uploads/2024/02/AFCI-Best-Practice-Understanding-Establishing-a-Film-Commission.pdf" TargetMode="External"/><Relationship Id="rId27" Type="http://schemas.openxmlformats.org/officeDocument/2006/relationships/hyperlink" Target="http://www.castellonfilm.com/es/" TargetMode="External"/><Relationship Id="rId43" Type="http://schemas.openxmlformats.org/officeDocument/2006/relationships/hyperlink" Target="https://www.boe.es/buscar/act.php?id=BOE-A-2014-12328" TargetMode="External"/><Relationship Id="rId48" Type="http://schemas.openxmlformats.org/officeDocument/2006/relationships/hyperlink" Target="https://www.lavanguardia.com/television/20161214/412615607564/amazon-prime-video-espana-hoy.html" TargetMode="External"/><Relationship Id="rId64" Type="http://schemas.openxmlformats.org/officeDocument/2006/relationships/hyperlink" Target="https://www.canalsur.es/Canal%20Sur%20Produce-4453.html" TargetMode="External"/><Relationship Id="rId69" Type="http://schemas.openxmlformats.org/officeDocument/2006/relationships/hyperlink" Target="https://sevillafilmandevents.com/solicitud-de-ocupacion-de-via-publica-para-el-rodaje-de-productos-audiovisuales/" TargetMode="External"/><Relationship Id="rId8" Type="http://schemas.openxmlformats.org/officeDocument/2006/relationships/image" Target="media/image1.jpg"/><Relationship Id="rId51" Type="http://schemas.openxmlformats.org/officeDocument/2006/relationships/hyperlink" Target="https://www.malagafilmoffice.com/como-rodar/como-rodar-en-malaga/" TargetMode="External"/><Relationship Id="rId72" Type="http://schemas.openxmlformats.org/officeDocument/2006/relationships/hyperlink" Target="https://doi.org/10.1177/20597991251325451" TargetMode="External"/><Relationship Id="rId80" Type="http://schemas.openxmlformats.org/officeDocument/2006/relationships/hyperlink" Target="https://bit.ly/3Lh9XtH" TargetMode="External"/><Relationship Id="rId85" Type="http://schemas.openxmlformats.org/officeDocument/2006/relationships/hyperlink" Target="https://bit.ly/4jzIqQQ"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s://elpais.com/espana/comunidad-valenciana/2022-03-15/europa-levanta-el-castigo-a-la-ciudad-de-la-luz-de-alicante-que-volvera-a-acoger-rodajes-10-anos-despues.html" TargetMode="External"/><Relationship Id="rId33" Type="http://schemas.openxmlformats.org/officeDocument/2006/relationships/hyperlink" Target="https://www.boe.es/doue/2013/085/L00001-00035.pdf" TargetMode="External"/><Relationship Id="rId38" Type="http://schemas.openxmlformats.org/officeDocument/2006/relationships/hyperlink" Target="https://planderecuperacion.gob.es/sites/default/files/2023-10/0310203_adenda_plan_de_recuperacion_componente25.pdf" TargetMode="External"/><Relationship Id="rId46" Type="http://schemas.openxmlformats.org/officeDocument/2006/relationships/hyperlink" Target="https://content.knightfrank.com/research/2439/documents/en/uk-film-and-television-studios-market-2022-9004.pdf" TargetMode="External"/><Relationship Id="rId59" Type="http://schemas.openxmlformats.org/officeDocument/2006/relationships/hyperlink" Target="https://scholarlycommons.law.wlu.edu/cgi/viewcontent.cgi?article=1700&amp;context=wlufac" TargetMode="External"/><Relationship Id="rId67" Type="http://schemas.openxmlformats.org/officeDocument/2006/relationships/hyperlink" Target="https://sede.valencia.es/sede/descarga/doc/DOCUMENT_1_ORD0057_C" TargetMode="External"/><Relationship Id="rId20" Type="http://schemas.openxmlformats.org/officeDocument/2006/relationships/hyperlink" Target="https://andaluciafilm.com/red-de-ciudades-de-cine/" TargetMode="External"/><Relationship Id="rId41" Type="http://schemas.openxmlformats.org/officeDocument/2006/relationships/hyperlink" Target="https://doi.org/10.3145/epi.2022.mar.18" TargetMode="External"/><Relationship Id="rId54" Type="http://schemas.openxmlformats.org/officeDocument/2006/relationships/hyperlink" Target="https://www.db-thueringen.de/servlets/MCRFileNodeServlet/dbt_derivate_00031953/AustralComm_2313-9137_4_2015_1_65-81.pdf" TargetMode="External"/><Relationship Id="rId62" Type="http://schemas.openxmlformats.org/officeDocument/2006/relationships/hyperlink" Target="https://dogv.gva.es/datos/2018/06/07/pdf/2018_5546.pdf" TargetMode="External"/><Relationship Id="rId70" Type="http://schemas.openxmlformats.org/officeDocument/2006/relationships/hyperlink" Target="https://www.sevillafilmandevents.com/wp-content/uploads/2023/03/SevillaAndMe-Guia-de-rodaje.pdf" TargetMode="External"/><Relationship Id="rId75" Type="http://schemas.openxmlformats.org/officeDocument/2006/relationships/hyperlink" Target="https://doi.org/10.1016/j.ccs.2013.08.001" TargetMode="External"/><Relationship Id="rId83" Type="http://schemas.openxmlformats.org/officeDocument/2006/relationships/hyperlink" Target="https://bit.ly/3Lh9IPj" TargetMode="External"/><Relationship Id="rId88" Type="http://schemas.openxmlformats.org/officeDocument/2006/relationships/hyperlink" Target="https://bit.ly/4pt4wFO" TargetMode="External"/><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committees.parliament.uk/writtenevidence/125657/pdf" TargetMode="External"/><Relationship Id="rId28" Type="http://schemas.openxmlformats.org/officeDocument/2006/relationships/hyperlink" Target="https://castellonplaza.com/lafilmcommissionvalencianaechaaandar" TargetMode="External"/><Relationship Id="rId36" Type="http://schemas.openxmlformats.org/officeDocument/2006/relationships/hyperlink" Target="https://www.filmvalencia.com/filmoffices" TargetMode="External"/><Relationship Id="rId49" Type="http://schemas.openxmlformats.org/officeDocument/2006/relationships/hyperlink" Target="https://www.levante-emv.com/valencia/2015/11/08/rodajes-promocionen-ciudad-pagaran-tasas-12511326.html" TargetMode="External"/><Relationship Id="rId57" Type="http://schemas.openxmlformats.org/officeDocument/2006/relationships/hyperlink" Target="https://doi.org/10.3389/ejcmp.2023.v6iss1-article-5" TargetMode="External"/><Relationship Id="rId10" Type="http://schemas.openxmlformats.org/officeDocument/2006/relationships/hyperlink" Target="https://orcid.org/0000-0001-6341-3193" TargetMode="External"/><Relationship Id="rId31" Type="http://schemas.openxmlformats.org/officeDocument/2006/relationships/hyperlink" Target="https://www.costablanca.org/es/costa-blanca-for-all/costa-blanca-film-commission/film-office" TargetMode="External"/><Relationship Id="rId44" Type="http://schemas.openxmlformats.org/officeDocument/2006/relationships/hyperlink" Target="https://www.boe.es/buscar/act.php?id=BOE-A-2022-11311" TargetMode="External"/><Relationship Id="rId52" Type="http://schemas.openxmlformats.org/officeDocument/2006/relationships/hyperlink" Target="https://elpais.com/cultura/2015/10/20/television/1445333554_738468.html" TargetMode="External"/><Relationship Id="rId60" Type="http://schemas.openxmlformats.org/officeDocument/2006/relationships/hyperlink" Target="https://www.portal-disney.com/2020/03/disney-ya-disponible-oficialmente-en.html" TargetMode="External"/><Relationship Id="rId65" Type="http://schemas.openxmlformats.org/officeDocument/2006/relationships/hyperlink" Target="https://doi.org/10.62161/sauc.v11.5726" TargetMode="External"/><Relationship Id="rId73" Type="http://schemas.openxmlformats.org/officeDocument/2006/relationships/hyperlink" Target="https://doi.org/10.1177/01634437231182565" TargetMode="External"/><Relationship Id="rId78" Type="http://schemas.openxmlformats.org/officeDocument/2006/relationships/hyperlink" Target="https://bit.ly/3YvTKUo" TargetMode="External"/><Relationship Id="rId81" Type="http://schemas.openxmlformats.org/officeDocument/2006/relationships/hyperlink" Target="https://bit.ly/3LA7VF6" TargetMode="External"/><Relationship Id="rId86" Type="http://schemas.openxmlformats.org/officeDocument/2006/relationships/hyperlink" Target="https://bit.ly/4qJQMI0"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jhuerta@upv.es" TargetMode="External"/><Relationship Id="rId13" Type="http://schemas.openxmlformats.org/officeDocument/2006/relationships/footer" Target="footer1.xml"/><Relationship Id="rId18" Type="http://schemas.openxmlformats.org/officeDocument/2006/relationships/hyperlink" Target="https://www.juntadeandalucia.es/organismos/aaic/areas/ayudas-sector/produccion-audiovisual.html" TargetMode="External"/><Relationship Id="rId39" Type="http://schemas.openxmlformats.org/officeDocument/2006/relationships/hyperlink" Target="https://roderic.uv.es/items/aa0d999d-3897-457c-bb2e-ea3d5c8ecc86" TargetMode="External"/><Relationship Id="rId34" Type="http://schemas.openxmlformats.org/officeDocument/2006/relationships/hyperlink" Target="https://eur-lex.europa.eu/legal-content/EN/TXT/PDF/?uri=CELEX:32018L1808" TargetMode="External"/><Relationship Id="rId50" Type="http://schemas.openxmlformats.org/officeDocument/2006/relationships/hyperlink" Target="https://www.fulcrum.org/concern/monographs/br86b585k" TargetMode="External"/><Relationship Id="rId55" Type="http://schemas.openxmlformats.org/officeDocument/2006/relationships/hyperlink" Target="https://www.asociacionappa.es/wp-content/uploads/2016/07/Estudio-Impacto-Eco_002.pdf" TargetMode="External"/><Relationship Id="rId76" Type="http://schemas.openxmlformats.org/officeDocument/2006/relationships/hyperlink" Target="https://bit.ly/49drI6n" TargetMode="External"/><Relationship Id="rId7" Type="http://schemas.openxmlformats.org/officeDocument/2006/relationships/endnotes" Target="endnotes.xml"/><Relationship Id="rId71" Type="http://schemas.openxmlformats.org/officeDocument/2006/relationships/hyperlink" Target="https://valenciaregionfilm.com/localizaciones/" TargetMode="External"/><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s://www.cnc.fr/web/en/tax-rebate/the-tax-rebate-for-international-productions-trip_190742" TargetMode="External"/><Relationship Id="rId24" Type="http://schemas.openxmlformats.org/officeDocument/2006/relationships/hyperlink" Target="https://www.bfi.org.uk/apply-british-certification-expenditure-credits/about-uk-creative-industry-expenditure-credits" TargetMode="External"/><Relationship Id="rId40" Type="http://schemas.openxmlformats.org/officeDocument/2006/relationships/hyperlink" Target="https://ijoc.org/index.php/ijoc/article/view/21881" TargetMode="External"/><Relationship Id="rId45" Type="http://schemas.openxmlformats.org/officeDocument/2006/relationships/hyperlink" Target="https://doi.org/10.1007/978-3-031-39237-5" TargetMode="External"/><Relationship Id="rId66" Type="http://schemas.openxmlformats.org/officeDocument/2006/relationships/hyperlink" Target="https://doi.org/10.1177/14614448241250029" TargetMode="External"/><Relationship Id="rId87" Type="http://schemas.openxmlformats.org/officeDocument/2006/relationships/hyperlink" Target="https://bit.ly/4jvJ6ql" TargetMode="External"/><Relationship Id="rId61" Type="http://schemas.openxmlformats.org/officeDocument/2006/relationships/hyperlink" Target="https://dogv.gva.es/datos/2013/11/27/pdf/docv_7161bis.pdf" TargetMode="External"/><Relationship Id="rId82" Type="http://schemas.openxmlformats.org/officeDocument/2006/relationships/hyperlink" Target="https://bit.ly/451hMKL" TargetMode="External"/><Relationship Id="rId19" Type="http://schemas.openxmlformats.org/officeDocument/2006/relationships/hyperlink" Target="https://andaluciafilm.com/wp-content/uploads/2024/11/Libro_Memoria_2023_lo-2.pdf" TargetMode="External"/><Relationship Id="rId14" Type="http://schemas.openxmlformats.org/officeDocument/2006/relationships/footer" Target="footer2.xml"/><Relationship Id="rId30" Type="http://schemas.openxmlformats.org/officeDocument/2006/relationships/hyperlink" Target="https://doi.org/10.1177/0739456X09354381" TargetMode="External"/><Relationship Id="rId35" Type="http://schemas.openxmlformats.org/officeDocument/2006/relationships/hyperlink" Target="https://www.elmundo.es/television/2016/11/28/583c0f67268e3e1a7f8b462a.html" TargetMode="External"/><Relationship Id="rId56" Type="http://schemas.openxmlformats.org/officeDocument/2006/relationships/hyperlink" Target="https://www.oecd.org/en/about/projects/the-soft-infrastructure-of-place-transformation.html" TargetMode="External"/><Relationship Id="rId77" Type="http://schemas.openxmlformats.org/officeDocument/2006/relationships/hyperlink" Target="https://bit.ly/4pol69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j0J4NKXbODvFyV2IHe5iyd8fJQ==">CgMxLjAyDmgudTBqb3RweWFlbG4wMg5oLnhpeHdoZGxna2pueTIOaC5vd3Y1dzNkdWk2Y3EyDmgudzg2aGo0bWU5dms0Mg5oLnJidXUxM2hrMjUxdDIOaC55bDBqcXZxNWxrcDYyDmgubmxoanZreW1zN2RuOAByITF1SHlZaFY5SVg0ZmpEejE2ZlpLWUFGZ3RpVjZhTlh2SA==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9261</Words>
  <Characters>50938</Characters>
  <Application>Microsoft Office Word</Application>
  <DocSecurity>0</DocSecurity>
  <Lines>424</Lines>
  <Paragraphs>120</Paragraphs>
  <ScaleCrop>false</ScaleCrop>
  <Company/>
  <LinksUpToDate>false</LinksUpToDate>
  <CharactersWithSpaces>60079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Quiles Moran, Francisco De Borja</cp:lastModifiedBy>
  <cp:revision>3</cp:revision>
  <dcterms:created xsi:type="dcterms:W3CDTF">2026-01-12T11:53:00Z</dcterms:created>
  <dcterms:modified xsi:type="dcterms:W3CDTF">2026-03-30T17:43:00Z</dcterms:modified>
</cp:coreProperties>
</file>